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Style w:val="af2"/>
          <w:rFonts w:ascii="方正小标宋_GBK" w:eastAsia="方正小标宋_GBK"/>
          <w:bCs/>
          <w:sz w:val="36"/>
          <w:szCs w:val="36"/>
        </w:rPr>
      </w:pPr>
      <w:r>
        <w:rPr>
          <w:rStyle w:val="af2"/>
          <w:rFonts w:ascii="方正小标宋_GBK" w:eastAsia="方正小标宋_GBK" w:hint="eastAsia"/>
          <w:bCs/>
          <w:sz w:val="36"/>
          <w:szCs w:val="36"/>
        </w:rPr>
        <w:t>无锡人社自助服务一体机维保服务项目需求</w:t>
      </w:r>
    </w:p>
    <w:p>
      <w:pPr>
        <w:spacing w:after="5" w:line="400" w:lineRule="exact"/>
        <w:ind w:firstLineChars="200" w:firstLine="480"/>
        <w:rPr>
          <w:rFonts w:ascii="宋体" w:hAnsi="宋体"/>
          <w:sz w:val="24"/>
          <w:szCs w:val="24"/>
        </w:rPr>
      </w:pPr>
    </w:p>
    <w:p>
      <w:pPr>
        <w:spacing w:after="5" w:line="400" w:lineRule="exact"/>
        <w:ind w:firstLineChars="200" w:firstLine="480"/>
        <w:rPr>
          <w:rFonts w:ascii="宋体" w:hAnsi="宋体"/>
          <w:sz w:val="24"/>
          <w:szCs w:val="24"/>
        </w:rPr>
      </w:pPr>
      <w:r>
        <w:rPr>
          <w:rFonts w:ascii="宋体" w:hAnsi="宋体" w:hint="eastAsia"/>
          <w:sz w:val="24"/>
          <w:szCs w:val="24"/>
        </w:rPr>
        <w:t>投标人所投内容必须满足以下要求，不得有负偏离。</w:t>
      </w:r>
    </w:p>
    <w:p>
      <w:pPr>
        <w:spacing w:after="5" w:line="400" w:lineRule="exact"/>
        <w:rPr>
          <w:rFonts w:ascii="黑体" w:eastAsia="黑体"/>
          <w:sz w:val="24"/>
          <w:szCs w:val="24"/>
        </w:rPr>
      </w:pPr>
      <w:r>
        <w:rPr>
          <w:rFonts w:ascii="黑体" w:eastAsia="黑体" w:hint="eastAsia"/>
          <w:sz w:val="24"/>
          <w:szCs w:val="24"/>
        </w:rPr>
        <w:t>一、项目技术要求：</w:t>
      </w:r>
    </w:p>
    <w:p>
      <w:pPr>
        <w:pStyle w:val="2"/>
        <w:spacing w:beforeLines="40" w:before="124" w:afterLines="40" w:after="124" w:line="360" w:lineRule="auto"/>
        <w:jc w:val="both"/>
        <w:rPr>
          <w:rFonts w:ascii="宋体" w:eastAsia="宋体" w:hAnsi="宋体"/>
          <w:sz w:val="24"/>
          <w:szCs w:val="24"/>
        </w:rPr>
      </w:pPr>
      <w:r>
        <w:rPr>
          <w:rFonts w:ascii="宋体" w:eastAsia="宋体" w:hAnsi="宋体" w:hint="eastAsia"/>
          <w:sz w:val="24"/>
          <w:szCs w:val="24"/>
        </w:rPr>
        <w:t>（一）采购项目一览表</w:t>
      </w:r>
    </w:p>
    <w:tbl>
      <w:tblPr>
        <w:tblW w:w="8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3544"/>
        <w:gridCol w:w="935"/>
        <w:gridCol w:w="2889"/>
      </w:tblGrid>
      <w:tr>
        <w:trPr>
          <w:trHeight w:val="20"/>
          <w:jc w:val="center"/>
        </w:trPr>
        <w:tc>
          <w:tcPr>
            <w:tcW w:w="752" w:type="dxa"/>
          </w:tcPr>
          <w:p>
            <w:pPr>
              <w:snapToGrid w:val="0"/>
              <w:jc w:val="center"/>
              <w:rPr>
                <w:rFonts w:ascii="宋体" w:hAnsi="宋体"/>
                <w:sz w:val="24"/>
                <w:szCs w:val="24"/>
              </w:rPr>
            </w:pPr>
            <w:r>
              <w:rPr>
                <w:rFonts w:ascii="宋体" w:hAnsi="宋体" w:hint="eastAsia"/>
                <w:sz w:val="24"/>
                <w:szCs w:val="24"/>
              </w:rPr>
              <w:t>序号</w:t>
            </w:r>
          </w:p>
        </w:tc>
        <w:tc>
          <w:tcPr>
            <w:tcW w:w="3544" w:type="dxa"/>
          </w:tcPr>
          <w:p>
            <w:pPr>
              <w:snapToGrid w:val="0"/>
              <w:jc w:val="center"/>
              <w:rPr>
                <w:rFonts w:ascii="宋体" w:hAnsi="宋体"/>
                <w:sz w:val="24"/>
                <w:szCs w:val="24"/>
              </w:rPr>
            </w:pPr>
            <w:r>
              <w:rPr>
                <w:rFonts w:ascii="宋体" w:hAnsi="宋体" w:hint="eastAsia"/>
                <w:sz w:val="24"/>
                <w:szCs w:val="24"/>
              </w:rPr>
              <w:t>项 目 名 称</w:t>
            </w:r>
          </w:p>
        </w:tc>
        <w:tc>
          <w:tcPr>
            <w:tcW w:w="935" w:type="dxa"/>
          </w:tcPr>
          <w:p>
            <w:pPr>
              <w:snapToGrid w:val="0"/>
              <w:jc w:val="center"/>
              <w:rPr>
                <w:rFonts w:ascii="宋体" w:hAnsi="宋体"/>
                <w:sz w:val="24"/>
                <w:szCs w:val="24"/>
              </w:rPr>
            </w:pPr>
            <w:r>
              <w:rPr>
                <w:rFonts w:ascii="宋体" w:hAnsi="宋体" w:hint="eastAsia"/>
                <w:sz w:val="24"/>
                <w:szCs w:val="24"/>
              </w:rPr>
              <w:t>数量</w:t>
            </w:r>
          </w:p>
        </w:tc>
        <w:tc>
          <w:tcPr>
            <w:tcW w:w="2889" w:type="dxa"/>
          </w:tcPr>
          <w:p>
            <w:pPr>
              <w:snapToGrid w:val="0"/>
              <w:jc w:val="center"/>
              <w:rPr>
                <w:rFonts w:ascii="宋体" w:hAnsi="宋体"/>
                <w:sz w:val="24"/>
                <w:szCs w:val="24"/>
              </w:rPr>
            </w:pPr>
            <w:r>
              <w:rPr>
                <w:rFonts w:ascii="宋体" w:hAnsi="宋体" w:hint="eastAsia"/>
                <w:sz w:val="24"/>
                <w:szCs w:val="24"/>
              </w:rPr>
              <w:t>服务期</w:t>
            </w:r>
          </w:p>
        </w:tc>
      </w:tr>
      <w:tr>
        <w:trPr>
          <w:trHeight w:val="20"/>
          <w:jc w:val="center"/>
        </w:trPr>
        <w:tc>
          <w:tcPr>
            <w:tcW w:w="752" w:type="dxa"/>
            <w:vAlign w:val="center"/>
          </w:tcPr>
          <w:p>
            <w:pPr>
              <w:snapToGrid w:val="0"/>
              <w:jc w:val="center"/>
              <w:rPr>
                <w:rFonts w:ascii="宋体" w:hAnsi="宋体"/>
                <w:sz w:val="24"/>
                <w:szCs w:val="24"/>
              </w:rPr>
            </w:pPr>
            <w:r>
              <w:rPr>
                <w:rFonts w:ascii="宋体" w:hAnsi="宋体" w:hint="eastAsia"/>
                <w:sz w:val="24"/>
                <w:szCs w:val="24"/>
              </w:rPr>
              <w:t>1</w:t>
            </w:r>
          </w:p>
        </w:tc>
        <w:tc>
          <w:tcPr>
            <w:tcW w:w="3544" w:type="dxa"/>
            <w:vAlign w:val="center"/>
          </w:tcPr>
          <w:p>
            <w:pPr>
              <w:snapToGrid w:val="0"/>
              <w:jc w:val="center"/>
              <w:rPr>
                <w:rFonts w:ascii="宋体" w:hAnsi="宋体"/>
                <w:sz w:val="24"/>
                <w:szCs w:val="24"/>
              </w:rPr>
            </w:pPr>
            <w:r>
              <w:rPr>
                <w:rFonts w:ascii="宋体" w:hAnsi="宋体" w:hint="eastAsia"/>
                <w:sz w:val="24"/>
                <w:szCs w:val="24"/>
              </w:rPr>
              <w:t>无锡人社自助服务一体机维保服务</w:t>
            </w:r>
          </w:p>
        </w:tc>
        <w:tc>
          <w:tcPr>
            <w:tcW w:w="935" w:type="dxa"/>
            <w:vAlign w:val="center"/>
          </w:tcPr>
          <w:p>
            <w:pPr>
              <w:snapToGrid w:val="0"/>
              <w:jc w:val="center"/>
              <w:rPr>
                <w:rFonts w:ascii="宋体" w:hAnsi="宋体"/>
                <w:sz w:val="24"/>
                <w:szCs w:val="24"/>
              </w:rPr>
            </w:pPr>
            <w:r>
              <w:rPr>
                <w:rFonts w:ascii="宋体" w:hAnsi="宋体" w:hint="eastAsia"/>
                <w:sz w:val="24"/>
                <w:szCs w:val="24"/>
              </w:rPr>
              <w:t>726台</w:t>
            </w:r>
          </w:p>
        </w:tc>
        <w:tc>
          <w:tcPr>
            <w:tcW w:w="2889" w:type="dxa"/>
            <w:vAlign w:val="center"/>
          </w:tcPr>
          <w:p>
            <w:pPr>
              <w:snapToGrid w:val="0"/>
              <w:jc w:val="center"/>
              <w:rPr>
                <w:rFonts w:ascii="宋体" w:hAnsi="宋体"/>
                <w:sz w:val="24"/>
                <w:szCs w:val="24"/>
              </w:rPr>
            </w:pPr>
            <w:r>
              <w:rPr>
                <w:rFonts w:ascii="宋体" w:hAnsi="宋体" w:hint="eastAsia"/>
                <w:sz w:val="24"/>
                <w:szCs w:val="24"/>
              </w:rPr>
              <w:t xml:space="preserve">合同签订生效之日起壹年 </w:t>
            </w:r>
          </w:p>
        </w:tc>
      </w:tr>
    </w:tbl>
    <w:p>
      <w:pPr>
        <w:pStyle w:val="2"/>
        <w:spacing w:beforeLines="40" w:before="124" w:afterLines="40" w:after="124" w:line="360" w:lineRule="auto"/>
        <w:jc w:val="both"/>
        <w:rPr>
          <w:rFonts w:ascii="宋体" w:eastAsia="宋体" w:hAnsi="宋体"/>
          <w:sz w:val="24"/>
          <w:szCs w:val="24"/>
        </w:rPr>
      </w:pPr>
      <w:r>
        <w:rPr>
          <w:rFonts w:ascii="宋体" w:eastAsia="宋体" w:hAnsi="宋体" w:hint="eastAsia"/>
          <w:sz w:val="24"/>
          <w:szCs w:val="24"/>
        </w:rPr>
        <w:t>（二）技术要求</w:t>
      </w:r>
    </w:p>
    <w:p>
      <w:pPr>
        <w:numPr>
          <w:ilvl w:val="0"/>
          <w:numId w:val="1"/>
        </w:numPr>
        <w:spacing w:line="360" w:lineRule="auto"/>
        <w:rPr>
          <w:rStyle w:val="2Char"/>
          <w:rFonts w:ascii="宋体" w:hAnsi="宋体"/>
          <w:sz w:val="24"/>
          <w:szCs w:val="24"/>
        </w:rPr>
      </w:pPr>
      <w:bookmarkStart w:id="0" w:name="_Toc5508"/>
      <w:r>
        <w:rPr>
          <w:rStyle w:val="2Char"/>
          <w:rFonts w:ascii="宋体" w:hAnsi="宋体" w:hint="eastAsia"/>
          <w:sz w:val="24"/>
          <w:szCs w:val="24"/>
        </w:rPr>
        <w:t>技术要求</w:t>
      </w:r>
      <w:bookmarkEnd w:id="0"/>
    </w:p>
    <w:p>
      <w:pPr>
        <w:numPr>
          <w:ilvl w:val="1"/>
          <w:numId w:val="1"/>
        </w:numPr>
        <w:spacing w:line="360" w:lineRule="auto"/>
        <w:rPr>
          <w:rFonts w:ascii="宋体" w:hAnsi="宋体"/>
          <w:sz w:val="24"/>
          <w:szCs w:val="24"/>
        </w:rPr>
      </w:pPr>
      <w:bookmarkStart w:id="1" w:name="_Toc177360127"/>
      <w:r>
        <w:rPr>
          <w:rFonts w:ascii="宋体" w:hAnsi="宋体" w:hint="eastAsia"/>
          <w:sz w:val="24"/>
          <w:szCs w:val="24"/>
        </w:rPr>
        <w:t>需要维保的硬件部件和软件功能</w:t>
      </w:r>
    </w:p>
    <w:p>
      <w:pPr>
        <w:numPr>
          <w:ilvl w:val="2"/>
          <w:numId w:val="1"/>
        </w:numPr>
        <w:tabs>
          <w:tab w:val="left" w:pos="992"/>
        </w:tabs>
        <w:spacing w:line="360" w:lineRule="auto"/>
        <w:jc w:val="left"/>
        <w:rPr>
          <w:rFonts w:ascii="宋体" w:hAnsi="宋体"/>
          <w:sz w:val="24"/>
          <w:szCs w:val="24"/>
        </w:rPr>
      </w:pPr>
      <w:r>
        <w:rPr>
          <w:rFonts w:ascii="宋体" w:hAnsi="宋体" w:hint="eastAsia"/>
          <w:sz w:val="24"/>
          <w:szCs w:val="24"/>
        </w:rPr>
        <w:t>针对无锡人社自助服务一体机提供上门维修服务，涉及硬件需要更换的，提供原装零部件进行更换。需要维保的硬件部件详见下表：</w:t>
      </w:r>
    </w:p>
    <w:p>
      <w:pPr>
        <w:tabs>
          <w:tab w:val="left" w:pos="992"/>
        </w:tabs>
        <w:spacing w:line="360" w:lineRule="auto"/>
        <w:ind w:left="425"/>
        <w:jc w:val="left"/>
        <w:rPr>
          <w:rFonts w:ascii="宋体" w:hAnsi="宋体"/>
          <w:sz w:val="24"/>
          <w:szCs w:val="24"/>
        </w:rPr>
      </w:pPr>
      <w:r>
        <w:rPr>
          <w:rFonts w:ascii="宋体" w:hAnsi="宋体" w:hint="eastAsia"/>
          <w:sz w:val="24"/>
          <w:szCs w:val="24"/>
        </w:rPr>
        <w:t>a.无锡人社自助服务一体机SST-M-0200/SST-M-0300（共计366台）</w:t>
      </w:r>
    </w:p>
    <w:tbl>
      <w:tblPr>
        <w:tblW w:w="8393" w:type="dxa"/>
        <w:jc w:val="center"/>
        <w:tblLayout w:type="fixed"/>
        <w:tblLook w:val="04A0" w:firstRow="1" w:lastRow="0" w:firstColumn="1" w:lastColumn="0" w:noHBand="0" w:noVBand="1"/>
      </w:tblPr>
      <w:tblGrid>
        <w:gridCol w:w="739"/>
        <w:gridCol w:w="7654"/>
      </w:tblGrid>
      <w:tr>
        <w:trPr>
          <w:trHeight w:val="20"/>
          <w:tblHeader/>
          <w:jc w:val="center"/>
        </w:trPr>
        <w:tc>
          <w:tcPr>
            <w:tcW w:w="739" w:type="dxa"/>
            <w:tcBorders>
              <w:top w:val="single" w:sz="8" w:space="0" w:color="auto"/>
              <w:left w:val="single" w:sz="8" w:space="0" w:color="auto"/>
              <w:bottom w:val="single" w:sz="4" w:space="0" w:color="auto"/>
              <w:right w:val="single" w:sz="4" w:space="0" w:color="auto"/>
            </w:tcBorders>
            <w:vAlign w:val="center"/>
          </w:tcPr>
          <w:p>
            <w:pPr>
              <w:snapToGrid w:val="0"/>
              <w:jc w:val="center"/>
              <w:rPr>
                <w:rFonts w:ascii="宋体" w:hAnsi="宋体"/>
                <w:sz w:val="24"/>
                <w:szCs w:val="24"/>
              </w:rPr>
            </w:pPr>
            <w:r>
              <w:rPr>
                <w:rFonts w:ascii="宋体" w:hAnsi="宋体" w:hint="eastAsia"/>
                <w:sz w:val="24"/>
                <w:szCs w:val="24"/>
              </w:rPr>
              <w:t>序号</w:t>
            </w:r>
          </w:p>
        </w:tc>
        <w:tc>
          <w:tcPr>
            <w:tcW w:w="7654" w:type="dxa"/>
            <w:tcBorders>
              <w:top w:val="single" w:sz="8" w:space="0" w:color="auto"/>
              <w:left w:val="nil"/>
              <w:bottom w:val="single" w:sz="4" w:space="0" w:color="auto"/>
              <w:right w:val="single" w:sz="4" w:space="0" w:color="auto"/>
            </w:tcBorders>
            <w:vAlign w:val="center"/>
          </w:tcPr>
          <w:p>
            <w:pPr>
              <w:snapToGrid w:val="0"/>
              <w:jc w:val="center"/>
              <w:rPr>
                <w:rFonts w:ascii="宋体" w:hAnsi="宋体"/>
                <w:sz w:val="24"/>
                <w:szCs w:val="24"/>
              </w:rPr>
            </w:pPr>
            <w:r>
              <w:rPr>
                <w:rFonts w:ascii="宋体" w:hAnsi="宋体" w:hint="eastAsia"/>
                <w:sz w:val="24"/>
                <w:szCs w:val="24"/>
              </w:rPr>
              <w:t>部件名称</w:t>
            </w:r>
          </w:p>
        </w:tc>
      </w:tr>
      <w:tr>
        <w:trPr>
          <w:trHeight w:val="20"/>
          <w:jc w:val="center"/>
        </w:trPr>
        <w:tc>
          <w:tcPr>
            <w:tcW w:w="739" w:type="dxa"/>
            <w:tcBorders>
              <w:top w:val="single" w:sz="4" w:space="0" w:color="auto"/>
              <w:left w:val="single" w:sz="4" w:space="0" w:color="auto"/>
              <w:bottom w:val="single" w:sz="4" w:space="0" w:color="auto"/>
              <w:right w:val="single" w:sz="4" w:space="0" w:color="auto"/>
            </w:tcBorders>
            <w:vAlign w:val="center"/>
          </w:tcPr>
          <w:p>
            <w:pPr>
              <w:snapToGrid w:val="0"/>
              <w:jc w:val="center"/>
              <w:rPr>
                <w:rFonts w:ascii="宋体" w:hAnsi="宋体"/>
                <w:sz w:val="24"/>
                <w:szCs w:val="24"/>
              </w:rPr>
            </w:pPr>
            <w:r>
              <w:rPr>
                <w:rFonts w:ascii="宋体" w:hAnsi="宋体" w:hint="eastAsia"/>
                <w:sz w:val="24"/>
                <w:szCs w:val="24"/>
              </w:rPr>
              <w:t>1</w:t>
            </w:r>
          </w:p>
        </w:tc>
        <w:tc>
          <w:tcPr>
            <w:tcW w:w="7654" w:type="dxa"/>
            <w:tcBorders>
              <w:top w:val="single" w:sz="4" w:space="0" w:color="auto"/>
              <w:left w:val="single" w:sz="4" w:space="0" w:color="auto"/>
              <w:bottom w:val="single" w:sz="4" w:space="0" w:color="auto"/>
              <w:right w:val="single" w:sz="4" w:space="0" w:color="auto"/>
            </w:tcBorders>
            <w:vAlign w:val="center"/>
          </w:tcPr>
          <w:p>
            <w:pPr>
              <w:snapToGrid w:val="0"/>
              <w:rPr>
                <w:rFonts w:ascii="宋体" w:hAnsi="宋体"/>
                <w:sz w:val="24"/>
                <w:szCs w:val="24"/>
              </w:rPr>
            </w:pPr>
            <w:r>
              <w:rPr>
                <w:rFonts w:ascii="宋体" w:hAnsi="宋体" w:hint="eastAsia"/>
                <w:sz w:val="24"/>
                <w:szCs w:val="24"/>
              </w:rPr>
              <w:t>工控主板：可以适应恶劣环境，可以长时间高负荷工作，集成显/声卡、10/100M网卡、4×</w:t>
            </w:r>
            <w:r>
              <w:rPr>
                <w:rFonts w:ascii="宋体" w:hAnsi="宋体"/>
                <w:sz w:val="24"/>
                <w:szCs w:val="24"/>
              </w:rPr>
              <w:t>USB</w:t>
            </w:r>
            <w:r>
              <w:rPr>
                <w:rFonts w:ascii="宋体" w:hAnsi="宋体" w:hint="eastAsia"/>
                <w:sz w:val="24"/>
                <w:szCs w:val="24"/>
              </w:rPr>
              <w:t>、5×RS232</w:t>
            </w:r>
          </w:p>
        </w:tc>
      </w:tr>
      <w:tr>
        <w:trPr>
          <w:trHeight w:val="20"/>
          <w:jc w:val="center"/>
        </w:trPr>
        <w:tc>
          <w:tcPr>
            <w:tcW w:w="739" w:type="dxa"/>
            <w:tcBorders>
              <w:top w:val="single" w:sz="4" w:space="0" w:color="auto"/>
              <w:left w:val="single" w:sz="4" w:space="0" w:color="auto"/>
              <w:bottom w:val="single" w:sz="4" w:space="0" w:color="auto"/>
              <w:right w:val="single" w:sz="4" w:space="0" w:color="auto"/>
            </w:tcBorders>
            <w:vAlign w:val="center"/>
          </w:tcPr>
          <w:p>
            <w:pPr>
              <w:snapToGrid w:val="0"/>
              <w:jc w:val="center"/>
              <w:rPr>
                <w:rFonts w:ascii="宋体" w:hAnsi="宋体"/>
                <w:sz w:val="24"/>
                <w:szCs w:val="24"/>
              </w:rPr>
            </w:pPr>
            <w:r>
              <w:rPr>
                <w:rFonts w:ascii="宋体" w:hAnsi="宋体" w:hint="eastAsia"/>
                <w:sz w:val="24"/>
                <w:szCs w:val="24"/>
              </w:rPr>
              <w:t>2</w:t>
            </w:r>
          </w:p>
        </w:tc>
        <w:tc>
          <w:tcPr>
            <w:tcW w:w="7654" w:type="dxa"/>
            <w:tcBorders>
              <w:top w:val="single" w:sz="4" w:space="0" w:color="auto"/>
              <w:left w:val="single" w:sz="4" w:space="0" w:color="auto"/>
              <w:bottom w:val="single" w:sz="4" w:space="0" w:color="auto"/>
              <w:right w:val="single" w:sz="4" w:space="0" w:color="auto"/>
            </w:tcBorders>
            <w:vAlign w:val="center"/>
          </w:tcPr>
          <w:p>
            <w:pPr>
              <w:snapToGrid w:val="0"/>
              <w:rPr>
                <w:rFonts w:ascii="宋体" w:hAnsi="宋体"/>
                <w:sz w:val="24"/>
                <w:szCs w:val="24"/>
              </w:rPr>
            </w:pPr>
            <w:r>
              <w:rPr>
                <w:rFonts w:ascii="宋体" w:hAnsi="宋体" w:hint="eastAsia"/>
                <w:sz w:val="24"/>
                <w:szCs w:val="24"/>
              </w:rPr>
              <w:t>内存：2G</w:t>
            </w:r>
          </w:p>
        </w:tc>
      </w:tr>
      <w:tr>
        <w:trPr>
          <w:trHeight w:val="20"/>
          <w:jc w:val="center"/>
        </w:trPr>
        <w:tc>
          <w:tcPr>
            <w:tcW w:w="739" w:type="dxa"/>
            <w:tcBorders>
              <w:top w:val="single" w:sz="4" w:space="0" w:color="auto"/>
              <w:left w:val="single" w:sz="4" w:space="0" w:color="auto"/>
              <w:bottom w:val="single" w:sz="4" w:space="0" w:color="auto"/>
              <w:right w:val="single" w:sz="4" w:space="0" w:color="auto"/>
            </w:tcBorders>
            <w:vAlign w:val="center"/>
          </w:tcPr>
          <w:p>
            <w:pPr>
              <w:snapToGrid w:val="0"/>
              <w:jc w:val="center"/>
              <w:rPr>
                <w:rFonts w:ascii="宋体" w:hAnsi="宋体"/>
                <w:sz w:val="24"/>
                <w:szCs w:val="24"/>
              </w:rPr>
            </w:pPr>
            <w:r>
              <w:rPr>
                <w:rFonts w:ascii="宋体" w:hAnsi="宋体" w:hint="eastAsia"/>
                <w:sz w:val="24"/>
                <w:szCs w:val="24"/>
              </w:rPr>
              <w:t>3</w:t>
            </w:r>
          </w:p>
        </w:tc>
        <w:tc>
          <w:tcPr>
            <w:tcW w:w="7654" w:type="dxa"/>
            <w:tcBorders>
              <w:top w:val="single" w:sz="4" w:space="0" w:color="auto"/>
              <w:left w:val="single" w:sz="4" w:space="0" w:color="auto"/>
              <w:bottom w:val="single" w:sz="4" w:space="0" w:color="auto"/>
              <w:right w:val="single" w:sz="4" w:space="0" w:color="auto"/>
            </w:tcBorders>
            <w:vAlign w:val="center"/>
          </w:tcPr>
          <w:p>
            <w:pPr>
              <w:snapToGrid w:val="0"/>
              <w:rPr>
                <w:rFonts w:ascii="宋体" w:hAnsi="宋体"/>
                <w:sz w:val="24"/>
                <w:szCs w:val="24"/>
              </w:rPr>
            </w:pPr>
            <w:r>
              <w:rPr>
                <w:rFonts w:ascii="宋体" w:hAnsi="宋体" w:hint="eastAsia"/>
                <w:sz w:val="24"/>
                <w:szCs w:val="24"/>
              </w:rPr>
              <w:t>CPU：双核，主频2.8GHz</w:t>
            </w:r>
          </w:p>
        </w:tc>
      </w:tr>
      <w:tr>
        <w:trPr>
          <w:trHeight w:val="20"/>
          <w:jc w:val="center"/>
        </w:trPr>
        <w:tc>
          <w:tcPr>
            <w:tcW w:w="739" w:type="dxa"/>
            <w:tcBorders>
              <w:top w:val="single" w:sz="4" w:space="0" w:color="auto"/>
              <w:left w:val="single" w:sz="4" w:space="0" w:color="auto"/>
              <w:bottom w:val="single" w:sz="4" w:space="0" w:color="auto"/>
              <w:right w:val="single" w:sz="4" w:space="0" w:color="auto"/>
            </w:tcBorders>
            <w:vAlign w:val="center"/>
          </w:tcPr>
          <w:p>
            <w:pPr>
              <w:snapToGrid w:val="0"/>
              <w:jc w:val="center"/>
              <w:rPr>
                <w:rFonts w:ascii="宋体" w:hAnsi="宋体"/>
                <w:sz w:val="24"/>
                <w:szCs w:val="24"/>
              </w:rPr>
            </w:pPr>
            <w:r>
              <w:rPr>
                <w:rFonts w:ascii="宋体" w:hAnsi="宋体" w:hint="eastAsia"/>
                <w:sz w:val="24"/>
                <w:szCs w:val="24"/>
              </w:rPr>
              <w:t>4</w:t>
            </w:r>
          </w:p>
        </w:tc>
        <w:tc>
          <w:tcPr>
            <w:tcW w:w="7654" w:type="dxa"/>
            <w:tcBorders>
              <w:top w:val="single" w:sz="4" w:space="0" w:color="auto"/>
              <w:left w:val="single" w:sz="4" w:space="0" w:color="auto"/>
              <w:bottom w:val="single" w:sz="4" w:space="0" w:color="auto"/>
              <w:right w:val="single" w:sz="4" w:space="0" w:color="auto"/>
            </w:tcBorders>
            <w:vAlign w:val="center"/>
          </w:tcPr>
          <w:p>
            <w:pPr>
              <w:snapToGrid w:val="0"/>
              <w:rPr>
                <w:rFonts w:ascii="宋体" w:hAnsi="宋体"/>
                <w:sz w:val="24"/>
                <w:szCs w:val="24"/>
              </w:rPr>
            </w:pPr>
            <w:r>
              <w:rPr>
                <w:rFonts w:ascii="宋体" w:hAnsi="宋体" w:hint="eastAsia"/>
                <w:sz w:val="24"/>
                <w:szCs w:val="24"/>
              </w:rPr>
              <w:t>硬盘：16G</w:t>
            </w:r>
          </w:p>
        </w:tc>
      </w:tr>
      <w:tr>
        <w:trPr>
          <w:trHeight w:val="20"/>
          <w:jc w:val="center"/>
        </w:trPr>
        <w:tc>
          <w:tcPr>
            <w:tcW w:w="739" w:type="dxa"/>
            <w:tcBorders>
              <w:top w:val="single" w:sz="4" w:space="0" w:color="auto"/>
              <w:left w:val="single" w:sz="4" w:space="0" w:color="auto"/>
              <w:bottom w:val="single" w:sz="4" w:space="0" w:color="auto"/>
              <w:right w:val="single" w:sz="4" w:space="0" w:color="auto"/>
            </w:tcBorders>
            <w:vAlign w:val="center"/>
          </w:tcPr>
          <w:p>
            <w:pPr>
              <w:snapToGrid w:val="0"/>
              <w:jc w:val="center"/>
              <w:rPr>
                <w:rFonts w:ascii="宋体" w:hAnsi="宋体"/>
                <w:sz w:val="24"/>
                <w:szCs w:val="24"/>
              </w:rPr>
            </w:pPr>
            <w:r>
              <w:rPr>
                <w:rFonts w:ascii="宋体" w:hAnsi="宋体" w:hint="eastAsia"/>
                <w:sz w:val="24"/>
                <w:szCs w:val="24"/>
              </w:rPr>
              <w:t>5</w:t>
            </w:r>
          </w:p>
        </w:tc>
        <w:tc>
          <w:tcPr>
            <w:tcW w:w="7654" w:type="dxa"/>
            <w:tcBorders>
              <w:top w:val="single" w:sz="4" w:space="0" w:color="auto"/>
              <w:left w:val="single" w:sz="4" w:space="0" w:color="auto"/>
              <w:bottom w:val="single" w:sz="4" w:space="0" w:color="auto"/>
              <w:right w:val="single" w:sz="4" w:space="0" w:color="auto"/>
            </w:tcBorders>
            <w:vAlign w:val="center"/>
          </w:tcPr>
          <w:p>
            <w:pPr>
              <w:snapToGrid w:val="0"/>
              <w:rPr>
                <w:rFonts w:ascii="宋体" w:hAnsi="宋体"/>
                <w:sz w:val="24"/>
                <w:szCs w:val="24"/>
              </w:rPr>
            </w:pPr>
            <w:r>
              <w:rPr>
                <w:rFonts w:ascii="宋体" w:hAnsi="宋体" w:hint="eastAsia"/>
                <w:sz w:val="24"/>
                <w:szCs w:val="24"/>
              </w:rPr>
              <w:t>主机电源：ATX电源，最大功率300W</w:t>
            </w:r>
          </w:p>
        </w:tc>
      </w:tr>
      <w:tr>
        <w:trPr>
          <w:trHeight w:val="20"/>
          <w:jc w:val="center"/>
        </w:trPr>
        <w:tc>
          <w:tcPr>
            <w:tcW w:w="739" w:type="dxa"/>
            <w:tcBorders>
              <w:top w:val="single" w:sz="4" w:space="0" w:color="auto"/>
              <w:left w:val="single" w:sz="4" w:space="0" w:color="auto"/>
              <w:bottom w:val="single" w:sz="4" w:space="0" w:color="auto"/>
              <w:right w:val="single" w:sz="4" w:space="0" w:color="auto"/>
            </w:tcBorders>
            <w:vAlign w:val="center"/>
          </w:tcPr>
          <w:p>
            <w:pPr>
              <w:snapToGrid w:val="0"/>
              <w:jc w:val="center"/>
              <w:rPr>
                <w:rFonts w:ascii="宋体" w:hAnsi="宋体"/>
                <w:sz w:val="24"/>
                <w:szCs w:val="24"/>
              </w:rPr>
            </w:pPr>
            <w:r>
              <w:rPr>
                <w:rFonts w:ascii="宋体" w:hAnsi="宋体" w:hint="eastAsia"/>
                <w:sz w:val="24"/>
                <w:szCs w:val="24"/>
              </w:rPr>
              <w:t>6</w:t>
            </w:r>
          </w:p>
        </w:tc>
        <w:tc>
          <w:tcPr>
            <w:tcW w:w="7654" w:type="dxa"/>
            <w:tcBorders>
              <w:top w:val="single" w:sz="4" w:space="0" w:color="auto"/>
              <w:left w:val="single" w:sz="4" w:space="0" w:color="auto"/>
              <w:bottom w:val="single" w:sz="4" w:space="0" w:color="auto"/>
              <w:right w:val="single" w:sz="4" w:space="0" w:color="auto"/>
            </w:tcBorders>
            <w:vAlign w:val="center"/>
          </w:tcPr>
          <w:p>
            <w:pPr>
              <w:snapToGrid w:val="0"/>
              <w:jc w:val="left"/>
              <w:rPr>
                <w:rFonts w:ascii="宋体" w:hAnsi="宋体"/>
                <w:sz w:val="24"/>
                <w:szCs w:val="24"/>
              </w:rPr>
            </w:pPr>
            <w:r>
              <w:rPr>
                <w:rFonts w:ascii="宋体" w:hAnsi="宋体" w:hint="eastAsia"/>
                <w:sz w:val="24"/>
                <w:szCs w:val="24"/>
              </w:rPr>
              <w:t>金属键盘：33键金属键盘，结合核心主板实现T9中文输入功能，支持中英文输入</w:t>
            </w:r>
          </w:p>
        </w:tc>
      </w:tr>
      <w:tr>
        <w:trPr>
          <w:trHeight w:val="20"/>
          <w:jc w:val="center"/>
        </w:trPr>
        <w:tc>
          <w:tcPr>
            <w:tcW w:w="739" w:type="dxa"/>
            <w:tcBorders>
              <w:top w:val="single" w:sz="4" w:space="0" w:color="auto"/>
              <w:left w:val="single" w:sz="4" w:space="0" w:color="auto"/>
              <w:bottom w:val="single" w:sz="4" w:space="0" w:color="auto"/>
              <w:right w:val="single" w:sz="4" w:space="0" w:color="auto"/>
            </w:tcBorders>
            <w:vAlign w:val="center"/>
          </w:tcPr>
          <w:p>
            <w:pPr>
              <w:snapToGrid w:val="0"/>
              <w:jc w:val="center"/>
              <w:rPr>
                <w:rFonts w:ascii="宋体" w:hAnsi="宋体"/>
                <w:sz w:val="24"/>
                <w:szCs w:val="24"/>
              </w:rPr>
            </w:pPr>
            <w:r>
              <w:rPr>
                <w:rFonts w:ascii="宋体" w:hAnsi="宋体" w:hint="eastAsia"/>
                <w:sz w:val="24"/>
                <w:szCs w:val="24"/>
              </w:rPr>
              <w:t>7</w:t>
            </w:r>
          </w:p>
        </w:tc>
        <w:tc>
          <w:tcPr>
            <w:tcW w:w="7654" w:type="dxa"/>
            <w:tcBorders>
              <w:top w:val="single" w:sz="4" w:space="0" w:color="auto"/>
              <w:left w:val="single" w:sz="4" w:space="0" w:color="auto"/>
              <w:bottom w:val="single" w:sz="4" w:space="0" w:color="auto"/>
              <w:right w:val="single" w:sz="4" w:space="0" w:color="auto"/>
            </w:tcBorders>
            <w:vAlign w:val="center"/>
          </w:tcPr>
          <w:p>
            <w:pPr>
              <w:snapToGrid w:val="0"/>
              <w:rPr>
                <w:rFonts w:ascii="宋体" w:hAnsi="宋体"/>
                <w:sz w:val="24"/>
                <w:szCs w:val="24"/>
              </w:rPr>
            </w:pPr>
            <w:r>
              <w:rPr>
                <w:rFonts w:ascii="宋体" w:hAnsi="宋体" w:cs="宋体" w:hint="eastAsia"/>
                <w:bCs/>
                <w:sz w:val="24"/>
                <w:szCs w:val="24"/>
              </w:rPr>
              <w:t>△</w:t>
            </w:r>
            <w:r>
              <w:rPr>
                <w:rFonts w:ascii="宋体" w:hAnsi="宋体" w:cs="宋体" w:hint="eastAsia"/>
                <w:sz w:val="24"/>
                <w:szCs w:val="24"/>
              </w:rPr>
              <w:t>社保卡</w:t>
            </w:r>
            <w:r>
              <w:rPr>
                <w:rFonts w:ascii="宋体" w:hAnsi="宋体" w:hint="eastAsia"/>
                <w:sz w:val="24"/>
                <w:szCs w:val="24"/>
              </w:rPr>
              <w:t>读卡器： 可读取符合人力资源社会保障部社保卡规范的社会保障卡</w:t>
            </w:r>
          </w:p>
        </w:tc>
      </w:tr>
      <w:tr>
        <w:trPr>
          <w:trHeight w:val="20"/>
          <w:jc w:val="center"/>
        </w:trPr>
        <w:tc>
          <w:tcPr>
            <w:tcW w:w="739" w:type="dxa"/>
            <w:tcBorders>
              <w:top w:val="single" w:sz="4" w:space="0" w:color="auto"/>
              <w:left w:val="single" w:sz="4" w:space="0" w:color="auto"/>
              <w:bottom w:val="single" w:sz="4" w:space="0" w:color="auto"/>
              <w:right w:val="single" w:sz="4" w:space="0" w:color="auto"/>
            </w:tcBorders>
            <w:vAlign w:val="center"/>
          </w:tcPr>
          <w:p>
            <w:pPr>
              <w:snapToGrid w:val="0"/>
              <w:jc w:val="center"/>
              <w:rPr>
                <w:rFonts w:ascii="宋体" w:hAnsi="宋体"/>
                <w:sz w:val="24"/>
                <w:szCs w:val="24"/>
              </w:rPr>
            </w:pPr>
            <w:r>
              <w:rPr>
                <w:rFonts w:ascii="宋体" w:hAnsi="宋体" w:hint="eastAsia"/>
                <w:sz w:val="24"/>
                <w:szCs w:val="24"/>
              </w:rPr>
              <w:t>8</w:t>
            </w:r>
          </w:p>
        </w:tc>
        <w:tc>
          <w:tcPr>
            <w:tcW w:w="7654" w:type="dxa"/>
            <w:tcBorders>
              <w:top w:val="single" w:sz="4" w:space="0" w:color="auto"/>
              <w:left w:val="single" w:sz="4" w:space="0" w:color="auto"/>
              <w:bottom w:val="single" w:sz="4" w:space="0" w:color="auto"/>
              <w:right w:val="single" w:sz="4" w:space="0" w:color="auto"/>
            </w:tcBorders>
            <w:vAlign w:val="center"/>
          </w:tcPr>
          <w:p>
            <w:pPr>
              <w:snapToGrid w:val="0"/>
              <w:jc w:val="left"/>
              <w:rPr>
                <w:rFonts w:ascii="宋体" w:hAnsi="宋体"/>
                <w:sz w:val="24"/>
                <w:szCs w:val="24"/>
              </w:rPr>
            </w:pPr>
            <w:r>
              <w:rPr>
                <w:rFonts w:ascii="宋体" w:hAnsi="宋体" w:hint="eastAsia"/>
                <w:sz w:val="24"/>
                <w:szCs w:val="24"/>
              </w:rPr>
              <w:t>热敏打印机：热敏打印、自动切纸、纸将尽报警、卡纸报警、带黑标检测，打印宽度：79.5mm，纸卷直径：120mm，含控制板及电源</w:t>
            </w:r>
          </w:p>
        </w:tc>
      </w:tr>
      <w:tr>
        <w:trPr>
          <w:trHeight w:val="20"/>
          <w:jc w:val="center"/>
        </w:trPr>
        <w:tc>
          <w:tcPr>
            <w:tcW w:w="739" w:type="dxa"/>
            <w:tcBorders>
              <w:top w:val="single" w:sz="4" w:space="0" w:color="auto"/>
              <w:left w:val="single" w:sz="4" w:space="0" w:color="auto"/>
              <w:bottom w:val="single" w:sz="4" w:space="0" w:color="auto"/>
              <w:right w:val="single" w:sz="4" w:space="0" w:color="auto"/>
            </w:tcBorders>
            <w:vAlign w:val="center"/>
          </w:tcPr>
          <w:p>
            <w:pPr>
              <w:snapToGrid w:val="0"/>
              <w:jc w:val="center"/>
              <w:rPr>
                <w:rFonts w:ascii="宋体" w:hAnsi="宋体"/>
                <w:sz w:val="24"/>
                <w:szCs w:val="24"/>
              </w:rPr>
            </w:pPr>
            <w:r>
              <w:rPr>
                <w:rFonts w:ascii="宋体" w:hAnsi="宋体" w:hint="eastAsia"/>
                <w:sz w:val="24"/>
                <w:szCs w:val="24"/>
              </w:rPr>
              <w:t>9</w:t>
            </w:r>
          </w:p>
        </w:tc>
        <w:tc>
          <w:tcPr>
            <w:tcW w:w="7654" w:type="dxa"/>
            <w:tcBorders>
              <w:top w:val="single" w:sz="4" w:space="0" w:color="auto"/>
              <w:left w:val="single" w:sz="4" w:space="0" w:color="auto"/>
              <w:bottom w:val="single" w:sz="4" w:space="0" w:color="auto"/>
              <w:right w:val="single" w:sz="4" w:space="0" w:color="auto"/>
            </w:tcBorders>
            <w:vAlign w:val="center"/>
          </w:tcPr>
          <w:p>
            <w:pPr>
              <w:snapToGrid w:val="0"/>
              <w:rPr>
                <w:rFonts w:ascii="宋体" w:hAnsi="宋体"/>
                <w:sz w:val="24"/>
                <w:szCs w:val="24"/>
              </w:rPr>
            </w:pPr>
            <w:r>
              <w:rPr>
                <w:rFonts w:ascii="宋体" w:hAnsi="宋体" w:hint="eastAsia"/>
                <w:sz w:val="24"/>
                <w:szCs w:val="24"/>
              </w:rPr>
              <w:t>二代身份证阅读器：符合公安《GA 450-2013 台式居民身份证阅读器通用技术要求》和《GA 467-2013 居民身份证验证安全控制模块接口技术规范》，阅读间距0-30mm,工作频率13.56MH，支持TYPE A/B标准</w:t>
            </w:r>
          </w:p>
        </w:tc>
      </w:tr>
      <w:tr>
        <w:trPr>
          <w:trHeight w:val="20"/>
          <w:jc w:val="center"/>
        </w:trPr>
        <w:tc>
          <w:tcPr>
            <w:tcW w:w="739" w:type="dxa"/>
            <w:tcBorders>
              <w:top w:val="single" w:sz="4" w:space="0" w:color="auto"/>
              <w:left w:val="single" w:sz="4" w:space="0" w:color="auto"/>
              <w:bottom w:val="single" w:sz="4" w:space="0" w:color="auto"/>
              <w:right w:val="single" w:sz="4" w:space="0" w:color="auto"/>
            </w:tcBorders>
            <w:vAlign w:val="center"/>
          </w:tcPr>
          <w:p>
            <w:pPr>
              <w:snapToGrid w:val="0"/>
              <w:jc w:val="center"/>
              <w:rPr>
                <w:rFonts w:ascii="宋体" w:hAnsi="宋体"/>
                <w:sz w:val="24"/>
                <w:szCs w:val="24"/>
              </w:rPr>
            </w:pPr>
            <w:r>
              <w:rPr>
                <w:rFonts w:ascii="宋体" w:hAnsi="宋体" w:hint="eastAsia"/>
                <w:sz w:val="24"/>
                <w:szCs w:val="24"/>
              </w:rPr>
              <w:t>10</w:t>
            </w:r>
          </w:p>
        </w:tc>
        <w:tc>
          <w:tcPr>
            <w:tcW w:w="7654" w:type="dxa"/>
            <w:tcBorders>
              <w:top w:val="single" w:sz="4" w:space="0" w:color="auto"/>
              <w:left w:val="single" w:sz="4" w:space="0" w:color="auto"/>
              <w:bottom w:val="single" w:sz="4" w:space="0" w:color="auto"/>
              <w:right w:val="single" w:sz="4" w:space="0" w:color="auto"/>
            </w:tcBorders>
            <w:vAlign w:val="center"/>
          </w:tcPr>
          <w:p>
            <w:pPr>
              <w:snapToGrid w:val="0"/>
              <w:jc w:val="left"/>
              <w:rPr>
                <w:rFonts w:ascii="宋体" w:hAnsi="宋体"/>
                <w:sz w:val="24"/>
                <w:szCs w:val="24"/>
              </w:rPr>
            </w:pPr>
            <w:r>
              <w:rPr>
                <w:rFonts w:ascii="宋体" w:hAnsi="宋体" w:hint="eastAsia"/>
                <w:sz w:val="24"/>
                <w:szCs w:val="24"/>
              </w:rPr>
              <w:t>摄像头：高清摄像头，200W像素</w:t>
            </w:r>
          </w:p>
        </w:tc>
      </w:tr>
      <w:tr>
        <w:trPr>
          <w:trHeight w:val="20"/>
          <w:jc w:val="center"/>
        </w:trPr>
        <w:tc>
          <w:tcPr>
            <w:tcW w:w="739" w:type="dxa"/>
            <w:tcBorders>
              <w:top w:val="single" w:sz="4" w:space="0" w:color="auto"/>
              <w:left w:val="single" w:sz="4" w:space="0" w:color="auto"/>
              <w:bottom w:val="single" w:sz="4" w:space="0" w:color="auto"/>
              <w:right w:val="single" w:sz="4" w:space="0" w:color="auto"/>
            </w:tcBorders>
            <w:vAlign w:val="center"/>
          </w:tcPr>
          <w:p>
            <w:pPr>
              <w:snapToGrid w:val="0"/>
              <w:jc w:val="center"/>
              <w:rPr>
                <w:rFonts w:ascii="宋体" w:hAnsi="宋体"/>
                <w:sz w:val="24"/>
                <w:szCs w:val="24"/>
              </w:rPr>
            </w:pPr>
            <w:r>
              <w:rPr>
                <w:rFonts w:ascii="宋体" w:hAnsi="宋体"/>
                <w:sz w:val="24"/>
                <w:szCs w:val="24"/>
              </w:rPr>
              <w:t>1</w:t>
            </w:r>
            <w:r>
              <w:rPr>
                <w:rFonts w:ascii="宋体" w:hAnsi="宋体" w:hint="eastAsia"/>
                <w:sz w:val="24"/>
                <w:szCs w:val="24"/>
              </w:rPr>
              <w:t>1</w:t>
            </w:r>
          </w:p>
        </w:tc>
        <w:tc>
          <w:tcPr>
            <w:tcW w:w="7654" w:type="dxa"/>
            <w:tcBorders>
              <w:top w:val="single" w:sz="4" w:space="0" w:color="auto"/>
              <w:left w:val="single" w:sz="4" w:space="0" w:color="auto"/>
              <w:bottom w:val="single" w:sz="4" w:space="0" w:color="auto"/>
              <w:right w:val="single" w:sz="4" w:space="0" w:color="auto"/>
            </w:tcBorders>
            <w:vAlign w:val="center"/>
          </w:tcPr>
          <w:p>
            <w:pPr>
              <w:snapToGrid w:val="0"/>
              <w:jc w:val="left"/>
              <w:rPr>
                <w:rFonts w:ascii="宋体" w:hAnsi="宋体"/>
                <w:sz w:val="24"/>
                <w:szCs w:val="24"/>
              </w:rPr>
            </w:pPr>
            <w:r>
              <w:rPr>
                <w:rFonts w:ascii="宋体" w:hAnsi="宋体" w:hint="eastAsia"/>
                <w:sz w:val="24"/>
                <w:szCs w:val="24"/>
              </w:rPr>
              <w:t>数字音响：高保真喇叭+数字功放 5W*2</w:t>
            </w:r>
          </w:p>
        </w:tc>
      </w:tr>
    </w:tbl>
    <w:p>
      <w:pPr>
        <w:tabs>
          <w:tab w:val="left" w:pos="992"/>
        </w:tabs>
        <w:spacing w:line="360" w:lineRule="auto"/>
        <w:ind w:left="425"/>
        <w:jc w:val="left"/>
        <w:rPr>
          <w:rFonts w:ascii="宋体" w:hAnsi="宋体"/>
          <w:sz w:val="24"/>
          <w:szCs w:val="24"/>
        </w:rPr>
      </w:pPr>
      <w:r>
        <w:rPr>
          <w:rFonts w:ascii="宋体" w:hAnsi="宋体" w:hint="eastAsia"/>
          <w:sz w:val="24"/>
          <w:szCs w:val="24"/>
        </w:rPr>
        <w:t>b.无锡人社自助服务一体机SST-M-0913（共计325台）</w:t>
      </w:r>
    </w:p>
    <w:tbl>
      <w:tblPr>
        <w:tblW w:w="8506" w:type="dxa"/>
        <w:jc w:val="center"/>
        <w:tblLayout w:type="fixed"/>
        <w:tblLook w:val="04A0" w:firstRow="1" w:lastRow="0" w:firstColumn="1" w:lastColumn="0" w:noHBand="0" w:noVBand="1"/>
      </w:tblPr>
      <w:tblGrid>
        <w:gridCol w:w="710"/>
        <w:gridCol w:w="7796"/>
      </w:tblGrid>
      <w:tr>
        <w:trPr>
          <w:trHeight w:val="20"/>
          <w:tblHeader/>
          <w:jc w:val="center"/>
        </w:trPr>
        <w:tc>
          <w:tcPr>
            <w:tcW w:w="710" w:type="dxa"/>
            <w:tcBorders>
              <w:top w:val="single" w:sz="8" w:space="0" w:color="auto"/>
              <w:left w:val="single" w:sz="8" w:space="0" w:color="auto"/>
              <w:bottom w:val="single" w:sz="4" w:space="0" w:color="auto"/>
              <w:right w:val="single" w:sz="4" w:space="0" w:color="auto"/>
            </w:tcBorders>
            <w:vAlign w:val="center"/>
          </w:tcPr>
          <w:p>
            <w:pPr>
              <w:snapToGrid w:val="0"/>
              <w:jc w:val="center"/>
              <w:rPr>
                <w:rFonts w:ascii="宋体" w:hAnsi="宋体"/>
                <w:sz w:val="24"/>
                <w:szCs w:val="24"/>
              </w:rPr>
            </w:pPr>
            <w:r>
              <w:rPr>
                <w:rFonts w:ascii="宋体" w:hAnsi="宋体" w:hint="eastAsia"/>
                <w:sz w:val="24"/>
                <w:szCs w:val="24"/>
              </w:rPr>
              <w:t>序号</w:t>
            </w:r>
          </w:p>
        </w:tc>
        <w:tc>
          <w:tcPr>
            <w:tcW w:w="7796" w:type="dxa"/>
            <w:tcBorders>
              <w:top w:val="single" w:sz="8" w:space="0" w:color="auto"/>
              <w:left w:val="nil"/>
              <w:bottom w:val="single" w:sz="4" w:space="0" w:color="auto"/>
              <w:right w:val="single" w:sz="4" w:space="0" w:color="auto"/>
            </w:tcBorders>
            <w:vAlign w:val="center"/>
          </w:tcPr>
          <w:p>
            <w:pPr>
              <w:snapToGrid w:val="0"/>
              <w:jc w:val="center"/>
              <w:rPr>
                <w:rFonts w:ascii="宋体" w:hAnsi="宋体"/>
                <w:sz w:val="24"/>
                <w:szCs w:val="24"/>
              </w:rPr>
            </w:pPr>
            <w:r>
              <w:rPr>
                <w:rFonts w:ascii="宋体" w:hAnsi="宋体" w:hint="eastAsia"/>
                <w:sz w:val="24"/>
                <w:szCs w:val="24"/>
              </w:rPr>
              <w:t>部件名称</w:t>
            </w:r>
          </w:p>
        </w:tc>
      </w:tr>
      <w:tr>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pPr>
              <w:snapToGrid w:val="0"/>
              <w:jc w:val="center"/>
              <w:rPr>
                <w:rFonts w:ascii="宋体" w:hAnsi="宋体"/>
                <w:sz w:val="24"/>
                <w:szCs w:val="24"/>
              </w:rPr>
            </w:pPr>
            <w:r>
              <w:rPr>
                <w:rFonts w:ascii="宋体" w:hAnsi="宋体" w:hint="eastAsia"/>
                <w:sz w:val="24"/>
                <w:szCs w:val="24"/>
              </w:rPr>
              <w:t>1</w:t>
            </w:r>
          </w:p>
        </w:tc>
        <w:tc>
          <w:tcPr>
            <w:tcW w:w="7796" w:type="dxa"/>
            <w:tcBorders>
              <w:top w:val="single" w:sz="4" w:space="0" w:color="auto"/>
              <w:left w:val="single" w:sz="4" w:space="0" w:color="auto"/>
              <w:bottom w:val="single" w:sz="4" w:space="0" w:color="auto"/>
              <w:right w:val="single" w:sz="4" w:space="0" w:color="auto"/>
            </w:tcBorders>
            <w:vAlign w:val="center"/>
          </w:tcPr>
          <w:p>
            <w:pPr>
              <w:snapToGrid w:val="0"/>
              <w:rPr>
                <w:rFonts w:ascii="宋体" w:hAnsi="宋体"/>
                <w:sz w:val="24"/>
                <w:szCs w:val="24"/>
              </w:rPr>
            </w:pPr>
            <w:r>
              <w:rPr>
                <w:rFonts w:ascii="宋体" w:hAnsi="宋体" w:hint="eastAsia"/>
                <w:sz w:val="24"/>
                <w:szCs w:val="24"/>
              </w:rPr>
              <w:t>工控主板：可以适应恶劣环境，可以长时间高负荷工作，集成显/声卡、10/100M网卡、4×</w:t>
            </w:r>
            <w:r>
              <w:rPr>
                <w:rFonts w:ascii="宋体" w:hAnsi="宋体"/>
                <w:sz w:val="24"/>
                <w:szCs w:val="24"/>
              </w:rPr>
              <w:t>USB</w:t>
            </w:r>
            <w:r>
              <w:rPr>
                <w:rFonts w:ascii="宋体" w:hAnsi="宋体" w:hint="eastAsia"/>
                <w:sz w:val="24"/>
                <w:szCs w:val="24"/>
              </w:rPr>
              <w:t>、5×RS232</w:t>
            </w:r>
          </w:p>
        </w:tc>
      </w:tr>
      <w:tr>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pPr>
              <w:snapToGrid w:val="0"/>
              <w:jc w:val="center"/>
              <w:rPr>
                <w:rFonts w:ascii="宋体" w:hAnsi="宋体"/>
                <w:sz w:val="24"/>
                <w:szCs w:val="24"/>
              </w:rPr>
            </w:pPr>
            <w:r>
              <w:rPr>
                <w:rFonts w:ascii="宋体" w:hAnsi="宋体" w:hint="eastAsia"/>
                <w:sz w:val="24"/>
                <w:szCs w:val="24"/>
              </w:rPr>
              <w:lastRenderedPageBreak/>
              <w:t>2</w:t>
            </w:r>
          </w:p>
        </w:tc>
        <w:tc>
          <w:tcPr>
            <w:tcW w:w="7796" w:type="dxa"/>
            <w:tcBorders>
              <w:top w:val="single" w:sz="4" w:space="0" w:color="auto"/>
              <w:left w:val="single" w:sz="4" w:space="0" w:color="auto"/>
              <w:bottom w:val="single" w:sz="4" w:space="0" w:color="auto"/>
              <w:right w:val="single" w:sz="4" w:space="0" w:color="auto"/>
            </w:tcBorders>
            <w:vAlign w:val="center"/>
          </w:tcPr>
          <w:p>
            <w:pPr>
              <w:snapToGrid w:val="0"/>
              <w:rPr>
                <w:rFonts w:ascii="宋体" w:hAnsi="宋体"/>
                <w:sz w:val="24"/>
                <w:szCs w:val="24"/>
              </w:rPr>
            </w:pPr>
            <w:r>
              <w:rPr>
                <w:rFonts w:ascii="宋体" w:hAnsi="宋体" w:hint="eastAsia"/>
                <w:sz w:val="24"/>
                <w:szCs w:val="24"/>
              </w:rPr>
              <w:t>内存：4G</w:t>
            </w:r>
          </w:p>
        </w:tc>
      </w:tr>
      <w:tr>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pPr>
              <w:snapToGrid w:val="0"/>
              <w:jc w:val="center"/>
              <w:rPr>
                <w:rFonts w:ascii="宋体" w:hAnsi="宋体"/>
                <w:sz w:val="24"/>
                <w:szCs w:val="24"/>
              </w:rPr>
            </w:pPr>
            <w:r>
              <w:rPr>
                <w:rFonts w:ascii="宋体" w:hAnsi="宋体" w:hint="eastAsia"/>
                <w:sz w:val="24"/>
                <w:szCs w:val="24"/>
              </w:rPr>
              <w:t>3</w:t>
            </w:r>
          </w:p>
        </w:tc>
        <w:tc>
          <w:tcPr>
            <w:tcW w:w="7796" w:type="dxa"/>
            <w:tcBorders>
              <w:top w:val="single" w:sz="4" w:space="0" w:color="auto"/>
              <w:left w:val="single" w:sz="4" w:space="0" w:color="auto"/>
              <w:bottom w:val="single" w:sz="4" w:space="0" w:color="auto"/>
              <w:right w:val="single" w:sz="4" w:space="0" w:color="auto"/>
            </w:tcBorders>
            <w:vAlign w:val="center"/>
          </w:tcPr>
          <w:p>
            <w:pPr>
              <w:snapToGrid w:val="0"/>
              <w:rPr>
                <w:rFonts w:ascii="宋体" w:hAnsi="宋体"/>
                <w:sz w:val="24"/>
                <w:szCs w:val="24"/>
              </w:rPr>
            </w:pPr>
            <w:r>
              <w:rPr>
                <w:rFonts w:ascii="宋体" w:hAnsi="宋体" w:hint="eastAsia"/>
                <w:sz w:val="24"/>
                <w:szCs w:val="24"/>
              </w:rPr>
              <w:t>CPU：双核，主频2.8GHz</w:t>
            </w:r>
          </w:p>
        </w:tc>
      </w:tr>
      <w:tr>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pPr>
              <w:snapToGrid w:val="0"/>
              <w:jc w:val="center"/>
              <w:rPr>
                <w:rFonts w:ascii="宋体" w:hAnsi="宋体"/>
                <w:sz w:val="24"/>
                <w:szCs w:val="24"/>
              </w:rPr>
            </w:pPr>
            <w:r>
              <w:rPr>
                <w:rFonts w:ascii="宋体" w:hAnsi="宋体" w:hint="eastAsia"/>
                <w:sz w:val="24"/>
                <w:szCs w:val="24"/>
              </w:rPr>
              <w:t>4</w:t>
            </w:r>
          </w:p>
        </w:tc>
        <w:tc>
          <w:tcPr>
            <w:tcW w:w="7796" w:type="dxa"/>
            <w:tcBorders>
              <w:top w:val="single" w:sz="4" w:space="0" w:color="auto"/>
              <w:left w:val="single" w:sz="4" w:space="0" w:color="auto"/>
              <w:bottom w:val="single" w:sz="4" w:space="0" w:color="auto"/>
              <w:right w:val="single" w:sz="4" w:space="0" w:color="auto"/>
            </w:tcBorders>
            <w:vAlign w:val="center"/>
          </w:tcPr>
          <w:p>
            <w:pPr>
              <w:snapToGrid w:val="0"/>
              <w:rPr>
                <w:rFonts w:ascii="宋体" w:hAnsi="宋体"/>
                <w:sz w:val="24"/>
                <w:szCs w:val="24"/>
              </w:rPr>
            </w:pPr>
            <w:r>
              <w:rPr>
                <w:rFonts w:ascii="宋体" w:hAnsi="宋体" w:hint="eastAsia"/>
                <w:sz w:val="24"/>
                <w:szCs w:val="24"/>
              </w:rPr>
              <w:t>硬盘：60G</w:t>
            </w:r>
          </w:p>
        </w:tc>
      </w:tr>
      <w:tr>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pPr>
              <w:snapToGrid w:val="0"/>
              <w:jc w:val="center"/>
              <w:rPr>
                <w:rFonts w:ascii="宋体" w:hAnsi="宋体"/>
                <w:sz w:val="24"/>
                <w:szCs w:val="24"/>
              </w:rPr>
            </w:pPr>
            <w:r>
              <w:rPr>
                <w:rFonts w:ascii="宋体" w:hAnsi="宋体" w:hint="eastAsia"/>
                <w:sz w:val="24"/>
                <w:szCs w:val="24"/>
              </w:rPr>
              <w:t>5</w:t>
            </w:r>
          </w:p>
        </w:tc>
        <w:tc>
          <w:tcPr>
            <w:tcW w:w="7796" w:type="dxa"/>
            <w:tcBorders>
              <w:top w:val="single" w:sz="4" w:space="0" w:color="auto"/>
              <w:left w:val="single" w:sz="4" w:space="0" w:color="auto"/>
              <w:bottom w:val="single" w:sz="4" w:space="0" w:color="auto"/>
              <w:right w:val="single" w:sz="4" w:space="0" w:color="auto"/>
            </w:tcBorders>
            <w:vAlign w:val="center"/>
          </w:tcPr>
          <w:p>
            <w:pPr>
              <w:snapToGrid w:val="0"/>
              <w:rPr>
                <w:rFonts w:ascii="宋体" w:hAnsi="宋体"/>
                <w:sz w:val="24"/>
                <w:szCs w:val="24"/>
              </w:rPr>
            </w:pPr>
            <w:r>
              <w:rPr>
                <w:rFonts w:ascii="宋体" w:hAnsi="宋体" w:hint="eastAsia"/>
                <w:sz w:val="24"/>
                <w:szCs w:val="24"/>
              </w:rPr>
              <w:t>触摸屏：19寸防暴安全型红外触摸屏，防尘、防污、定位准确无漂移</w:t>
            </w:r>
          </w:p>
        </w:tc>
      </w:tr>
      <w:tr>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pPr>
              <w:snapToGrid w:val="0"/>
              <w:jc w:val="center"/>
              <w:rPr>
                <w:rFonts w:ascii="宋体" w:hAnsi="宋体"/>
                <w:sz w:val="24"/>
                <w:szCs w:val="24"/>
              </w:rPr>
            </w:pPr>
            <w:r>
              <w:rPr>
                <w:rFonts w:ascii="宋体" w:hAnsi="宋体" w:hint="eastAsia"/>
                <w:sz w:val="24"/>
                <w:szCs w:val="24"/>
              </w:rPr>
              <w:t>6</w:t>
            </w:r>
          </w:p>
        </w:tc>
        <w:tc>
          <w:tcPr>
            <w:tcW w:w="7796" w:type="dxa"/>
            <w:tcBorders>
              <w:top w:val="single" w:sz="4" w:space="0" w:color="auto"/>
              <w:left w:val="single" w:sz="4" w:space="0" w:color="auto"/>
              <w:bottom w:val="single" w:sz="4" w:space="0" w:color="auto"/>
              <w:right w:val="single" w:sz="4" w:space="0" w:color="auto"/>
            </w:tcBorders>
            <w:vAlign w:val="center"/>
          </w:tcPr>
          <w:p>
            <w:pPr>
              <w:snapToGrid w:val="0"/>
              <w:rPr>
                <w:rFonts w:ascii="宋体" w:hAnsi="宋体"/>
                <w:sz w:val="24"/>
                <w:szCs w:val="24"/>
              </w:rPr>
            </w:pPr>
            <w:r>
              <w:rPr>
                <w:rFonts w:ascii="宋体" w:hAnsi="宋体" w:hint="eastAsia"/>
                <w:sz w:val="24"/>
                <w:szCs w:val="24"/>
              </w:rPr>
              <w:t>液晶显示屏：19寸5:4 TFT显示模块，分辨率1440*900，亮度≥250 cd/m2；对比度：1000：1</w:t>
            </w:r>
          </w:p>
        </w:tc>
      </w:tr>
      <w:tr>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pPr>
              <w:snapToGrid w:val="0"/>
              <w:jc w:val="center"/>
              <w:rPr>
                <w:rFonts w:ascii="宋体" w:hAnsi="宋体"/>
                <w:sz w:val="24"/>
                <w:szCs w:val="24"/>
              </w:rPr>
            </w:pPr>
            <w:r>
              <w:rPr>
                <w:rFonts w:ascii="宋体" w:hAnsi="宋体" w:hint="eastAsia"/>
                <w:sz w:val="24"/>
                <w:szCs w:val="24"/>
              </w:rPr>
              <w:t>7</w:t>
            </w:r>
          </w:p>
        </w:tc>
        <w:tc>
          <w:tcPr>
            <w:tcW w:w="7796" w:type="dxa"/>
            <w:tcBorders>
              <w:top w:val="single" w:sz="4" w:space="0" w:color="auto"/>
              <w:left w:val="single" w:sz="4" w:space="0" w:color="auto"/>
              <w:bottom w:val="single" w:sz="4" w:space="0" w:color="auto"/>
              <w:right w:val="single" w:sz="4" w:space="0" w:color="auto"/>
            </w:tcBorders>
            <w:vAlign w:val="center"/>
          </w:tcPr>
          <w:p>
            <w:pPr>
              <w:snapToGrid w:val="0"/>
              <w:rPr>
                <w:rFonts w:ascii="宋体" w:hAnsi="宋体"/>
                <w:sz w:val="24"/>
                <w:szCs w:val="24"/>
              </w:rPr>
            </w:pPr>
            <w:r>
              <w:rPr>
                <w:rFonts w:ascii="宋体" w:hAnsi="宋体" w:hint="eastAsia"/>
                <w:sz w:val="24"/>
                <w:szCs w:val="24"/>
              </w:rPr>
              <w:t>主机电源：ATX电源，最大功率300W</w:t>
            </w:r>
          </w:p>
        </w:tc>
      </w:tr>
      <w:tr>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pPr>
              <w:snapToGrid w:val="0"/>
              <w:jc w:val="center"/>
              <w:rPr>
                <w:rFonts w:ascii="宋体" w:hAnsi="宋体"/>
                <w:sz w:val="24"/>
                <w:szCs w:val="24"/>
              </w:rPr>
            </w:pPr>
            <w:r>
              <w:rPr>
                <w:rFonts w:ascii="宋体" w:hAnsi="宋体" w:hint="eastAsia"/>
                <w:sz w:val="24"/>
                <w:szCs w:val="24"/>
              </w:rPr>
              <w:t>8</w:t>
            </w:r>
          </w:p>
        </w:tc>
        <w:tc>
          <w:tcPr>
            <w:tcW w:w="7796" w:type="dxa"/>
            <w:tcBorders>
              <w:top w:val="single" w:sz="4" w:space="0" w:color="auto"/>
              <w:left w:val="single" w:sz="4" w:space="0" w:color="auto"/>
              <w:bottom w:val="single" w:sz="4" w:space="0" w:color="auto"/>
              <w:right w:val="single" w:sz="4" w:space="0" w:color="auto"/>
            </w:tcBorders>
            <w:vAlign w:val="center"/>
          </w:tcPr>
          <w:p>
            <w:pPr>
              <w:snapToGrid w:val="0"/>
              <w:jc w:val="left"/>
              <w:rPr>
                <w:rFonts w:ascii="宋体" w:hAnsi="宋体"/>
                <w:sz w:val="24"/>
                <w:szCs w:val="24"/>
              </w:rPr>
            </w:pPr>
            <w:r>
              <w:rPr>
                <w:rFonts w:ascii="宋体" w:hAnsi="宋体" w:hint="eastAsia"/>
                <w:sz w:val="24"/>
                <w:szCs w:val="24"/>
              </w:rPr>
              <w:t>金属键盘：33键金属键盘，结合核心主板实现T9中文输入功能，支持中英文输入</w:t>
            </w:r>
          </w:p>
        </w:tc>
      </w:tr>
      <w:tr>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pPr>
              <w:snapToGrid w:val="0"/>
              <w:jc w:val="center"/>
              <w:rPr>
                <w:rFonts w:ascii="宋体" w:hAnsi="宋体"/>
                <w:sz w:val="24"/>
                <w:szCs w:val="24"/>
              </w:rPr>
            </w:pPr>
            <w:r>
              <w:rPr>
                <w:rFonts w:ascii="宋体" w:hAnsi="宋体" w:hint="eastAsia"/>
                <w:sz w:val="24"/>
                <w:szCs w:val="24"/>
              </w:rPr>
              <w:t>9</w:t>
            </w:r>
          </w:p>
        </w:tc>
        <w:tc>
          <w:tcPr>
            <w:tcW w:w="7796" w:type="dxa"/>
            <w:tcBorders>
              <w:top w:val="single" w:sz="4" w:space="0" w:color="auto"/>
              <w:left w:val="single" w:sz="4" w:space="0" w:color="auto"/>
              <w:bottom w:val="single" w:sz="4" w:space="0" w:color="auto"/>
              <w:right w:val="single" w:sz="4" w:space="0" w:color="auto"/>
            </w:tcBorders>
            <w:vAlign w:val="center"/>
          </w:tcPr>
          <w:p>
            <w:pPr>
              <w:snapToGrid w:val="0"/>
              <w:rPr>
                <w:rFonts w:ascii="宋体" w:hAnsi="宋体"/>
                <w:sz w:val="24"/>
                <w:szCs w:val="24"/>
              </w:rPr>
            </w:pPr>
            <w:r>
              <w:rPr>
                <w:rFonts w:ascii="宋体" w:hAnsi="宋体" w:cs="宋体" w:hint="eastAsia"/>
                <w:bCs/>
                <w:sz w:val="24"/>
                <w:szCs w:val="24"/>
              </w:rPr>
              <w:t>△</w:t>
            </w:r>
            <w:r>
              <w:rPr>
                <w:rFonts w:ascii="宋体" w:hAnsi="宋体" w:cs="宋体" w:hint="eastAsia"/>
                <w:sz w:val="24"/>
                <w:szCs w:val="24"/>
              </w:rPr>
              <w:t>社保卡</w:t>
            </w:r>
            <w:r>
              <w:rPr>
                <w:rFonts w:ascii="宋体" w:hAnsi="宋体" w:hint="eastAsia"/>
                <w:sz w:val="24"/>
                <w:szCs w:val="24"/>
              </w:rPr>
              <w:t>读卡器： 可读取符合人力资源社会保障部社保卡规范的社会保障卡</w:t>
            </w:r>
          </w:p>
        </w:tc>
      </w:tr>
      <w:tr>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pPr>
              <w:snapToGrid w:val="0"/>
              <w:jc w:val="center"/>
              <w:rPr>
                <w:rFonts w:ascii="宋体" w:hAnsi="宋体"/>
                <w:sz w:val="24"/>
                <w:szCs w:val="24"/>
              </w:rPr>
            </w:pPr>
            <w:r>
              <w:rPr>
                <w:rFonts w:ascii="宋体" w:hAnsi="宋体" w:hint="eastAsia"/>
                <w:sz w:val="24"/>
                <w:szCs w:val="24"/>
              </w:rPr>
              <w:t>10</w:t>
            </w:r>
          </w:p>
        </w:tc>
        <w:tc>
          <w:tcPr>
            <w:tcW w:w="7796" w:type="dxa"/>
            <w:tcBorders>
              <w:top w:val="single" w:sz="4" w:space="0" w:color="auto"/>
              <w:left w:val="single" w:sz="4" w:space="0" w:color="auto"/>
              <w:bottom w:val="single" w:sz="4" w:space="0" w:color="auto"/>
              <w:right w:val="single" w:sz="4" w:space="0" w:color="auto"/>
            </w:tcBorders>
            <w:vAlign w:val="center"/>
          </w:tcPr>
          <w:p>
            <w:pPr>
              <w:snapToGrid w:val="0"/>
              <w:jc w:val="left"/>
              <w:rPr>
                <w:rFonts w:ascii="宋体" w:hAnsi="宋体"/>
                <w:sz w:val="24"/>
                <w:szCs w:val="24"/>
              </w:rPr>
            </w:pPr>
            <w:r>
              <w:rPr>
                <w:rFonts w:ascii="宋体" w:hAnsi="宋体" w:hint="eastAsia"/>
                <w:sz w:val="24"/>
                <w:szCs w:val="24"/>
              </w:rPr>
              <w:t>热敏打印机：热敏打印、自动切纸、纸将尽报警、卡纸报警、带黑标检测，打印宽度：79.5mm，纸卷直径：120mm，含控制板及电源</w:t>
            </w:r>
          </w:p>
        </w:tc>
      </w:tr>
      <w:tr>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pPr>
              <w:snapToGrid w:val="0"/>
              <w:jc w:val="center"/>
              <w:rPr>
                <w:rFonts w:ascii="宋体" w:hAnsi="宋体"/>
                <w:sz w:val="24"/>
                <w:szCs w:val="24"/>
              </w:rPr>
            </w:pPr>
            <w:r>
              <w:rPr>
                <w:rFonts w:ascii="宋体" w:hAnsi="宋体" w:hint="eastAsia"/>
                <w:sz w:val="24"/>
                <w:szCs w:val="24"/>
              </w:rPr>
              <w:t>11</w:t>
            </w:r>
          </w:p>
        </w:tc>
        <w:tc>
          <w:tcPr>
            <w:tcW w:w="7796" w:type="dxa"/>
            <w:tcBorders>
              <w:top w:val="single" w:sz="4" w:space="0" w:color="auto"/>
              <w:left w:val="single" w:sz="4" w:space="0" w:color="auto"/>
              <w:bottom w:val="single" w:sz="4" w:space="0" w:color="auto"/>
              <w:right w:val="single" w:sz="4" w:space="0" w:color="auto"/>
            </w:tcBorders>
            <w:vAlign w:val="center"/>
          </w:tcPr>
          <w:p>
            <w:pPr>
              <w:snapToGrid w:val="0"/>
              <w:rPr>
                <w:rFonts w:ascii="宋体" w:hAnsi="宋体" w:cs="宋体"/>
                <w:sz w:val="24"/>
                <w:szCs w:val="24"/>
              </w:rPr>
            </w:pPr>
            <w:r>
              <w:rPr>
                <w:rFonts w:ascii="宋体" w:hAnsi="宋体" w:cs="宋体" w:hint="eastAsia"/>
                <w:kern w:val="0"/>
                <w:sz w:val="24"/>
                <w:szCs w:val="24"/>
              </w:rPr>
              <w:t>激光打印机：最大打印幅面：A4；打印速度：27ppm；最高分辨率：600*600dpi；打印内存：256MB</w:t>
            </w:r>
          </w:p>
        </w:tc>
      </w:tr>
      <w:tr>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pPr>
              <w:snapToGrid w:val="0"/>
              <w:jc w:val="center"/>
              <w:rPr>
                <w:rFonts w:ascii="宋体" w:hAnsi="宋体"/>
                <w:sz w:val="24"/>
                <w:szCs w:val="24"/>
              </w:rPr>
            </w:pPr>
            <w:r>
              <w:rPr>
                <w:rFonts w:ascii="宋体" w:hAnsi="宋体" w:hint="eastAsia"/>
                <w:sz w:val="24"/>
                <w:szCs w:val="24"/>
              </w:rPr>
              <w:t>12</w:t>
            </w:r>
          </w:p>
        </w:tc>
        <w:tc>
          <w:tcPr>
            <w:tcW w:w="7796" w:type="dxa"/>
            <w:tcBorders>
              <w:top w:val="single" w:sz="4" w:space="0" w:color="auto"/>
              <w:left w:val="single" w:sz="4" w:space="0" w:color="auto"/>
              <w:bottom w:val="single" w:sz="4" w:space="0" w:color="auto"/>
              <w:right w:val="single" w:sz="4" w:space="0" w:color="auto"/>
            </w:tcBorders>
            <w:vAlign w:val="center"/>
          </w:tcPr>
          <w:p>
            <w:pPr>
              <w:snapToGrid w:val="0"/>
              <w:rPr>
                <w:rFonts w:ascii="宋体" w:hAnsi="宋体"/>
                <w:sz w:val="24"/>
                <w:szCs w:val="24"/>
              </w:rPr>
            </w:pPr>
            <w:r>
              <w:rPr>
                <w:rFonts w:ascii="宋体" w:hAnsi="宋体" w:hint="eastAsia"/>
                <w:sz w:val="24"/>
                <w:szCs w:val="24"/>
              </w:rPr>
              <w:t>二代身份证阅读器：符合公安《GA 450-2013 台式居民身份证阅读器通用技术要求》和《GA 467-2013 居民身份证验证安全控制模块接口技术规范》，阅读间距0-30mm,工作频率13.56MH，支持TYPE A/B标准。</w:t>
            </w:r>
          </w:p>
        </w:tc>
      </w:tr>
      <w:tr>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pPr>
              <w:snapToGrid w:val="0"/>
              <w:jc w:val="center"/>
              <w:rPr>
                <w:rFonts w:ascii="宋体" w:hAnsi="宋体"/>
                <w:sz w:val="24"/>
                <w:szCs w:val="24"/>
              </w:rPr>
            </w:pPr>
            <w:r>
              <w:rPr>
                <w:rFonts w:ascii="宋体" w:hAnsi="宋体" w:hint="eastAsia"/>
                <w:sz w:val="24"/>
                <w:szCs w:val="24"/>
              </w:rPr>
              <w:t>13</w:t>
            </w:r>
          </w:p>
        </w:tc>
        <w:tc>
          <w:tcPr>
            <w:tcW w:w="7796" w:type="dxa"/>
            <w:tcBorders>
              <w:top w:val="single" w:sz="4" w:space="0" w:color="auto"/>
              <w:left w:val="single" w:sz="4" w:space="0" w:color="auto"/>
              <w:bottom w:val="single" w:sz="4" w:space="0" w:color="auto"/>
              <w:right w:val="single" w:sz="4" w:space="0" w:color="auto"/>
            </w:tcBorders>
            <w:vAlign w:val="center"/>
          </w:tcPr>
          <w:p>
            <w:pPr>
              <w:snapToGrid w:val="0"/>
              <w:jc w:val="left"/>
              <w:rPr>
                <w:rFonts w:ascii="宋体" w:hAnsi="宋体"/>
                <w:sz w:val="24"/>
                <w:szCs w:val="24"/>
              </w:rPr>
            </w:pPr>
            <w:r>
              <w:rPr>
                <w:rFonts w:ascii="宋体" w:hAnsi="宋体" w:hint="eastAsia"/>
                <w:sz w:val="24"/>
                <w:szCs w:val="24"/>
              </w:rPr>
              <w:t>摄像头：高清摄像头，200W像素</w:t>
            </w:r>
          </w:p>
        </w:tc>
      </w:tr>
    </w:tbl>
    <w:p>
      <w:pPr>
        <w:tabs>
          <w:tab w:val="left" w:pos="992"/>
        </w:tabs>
        <w:spacing w:line="360" w:lineRule="auto"/>
        <w:ind w:left="425"/>
        <w:jc w:val="left"/>
        <w:rPr>
          <w:rFonts w:ascii="宋体" w:hAnsi="宋体"/>
          <w:sz w:val="24"/>
          <w:szCs w:val="24"/>
        </w:rPr>
      </w:pPr>
      <w:r>
        <w:rPr>
          <w:rFonts w:ascii="宋体" w:hAnsi="宋体" w:hint="eastAsia"/>
          <w:sz w:val="24"/>
          <w:szCs w:val="24"/>
        </w:rPr>
        <w:t>c.无锡人社自助服务一体机桌面终端IST-D-1302（共计35台）</w:t>
      </w:r>
    </w:p>
    <w:tbl>
      <w:tblPr>
        <w:tblW w:w="8502" w:type="dxa"/>
        <w:jc w:val="center"/>
        <w:tblLook w:val="04A0" w:firstRow="1" w:lastRow="0" w:firstColumn="1" w:lastColumn="0" w:noHBand="0" w:noVBand="1"/>
      </w:tblPr>
      <w:tblGrid>
        <w:gridCol w:w="846"/>
        <w:gridCol w:w="2073"/>
        <w:gridCol w:w="1851"/>
        <w:gridCol w:w="3732"/>
      </w:tblGrid>
      <w:tr>
        <w:trPr>
          <w:trHeight w:val="20"/>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pPr>
              <w:snapToGrid w:val="0"/>
              <w:jc w:val="center"/>
              <w:rPr>
                <w:rFonts w:ascii="宋体" w:hAnsi="宋体"/>
                <w:sz w:val="24"/>
                <w:szCs w:val="24"/>
              </w:rPr>
            </w:pPr>
            <w:r>
              <w:rPr>
                <w:rFonts w:ascii="宋体" w:hAnsi="宋体" w:hint="eastAsia"/>
                <w:sz w:val="24"/>
                <w:szCs w:val="24"/>
              </w:rPr>
              <w:t>序号</w:t>
            </w:r>
          </w:p>
        </w:tc>
        <w:tc>
          <w:tcPr>
            <w:tcW w:w="2073" w:type="dxa"/>
            <w:tcBorders>
              <w:top w:val="single" w:sz="4" w:space="0" w:color="auto"/>
              <w:left w:val="single" w:sz="4" w:space="0" w:color="auto"/>
              <w:bottom w:val="single" w:sz="4" w:space="0" w:color="auto"/>
              <w:right w:val="single" w:sz="4" w:space="0" w:color="auto"/>
            </w:tcBorders>
            <w:vAlign w:val="center"/>
          </w:tcPr>
          <w:p>
            <w:pPr>
              <w:snapToGrid w:val="0"/>
              <w:jc w:val="center"/>
              <w:rPr>
                <w:rFonts w:ascii="宋体" w:hAnsi="宋体"/>
                <w:sz w:val="24"/>
                <w:szCs w:val="24"/>
              </w:rPr>
            </w:pPr>
            <w:r>
              <w:rPr>
                <w:rFonts w:ascii="宋体" w:hAnsi="宋体" w:hint="eastAsia"/>
                <w:sz w:val="24"/>
                <w:szCs w:val="24"/>
              </w:rPr>
              <w:t>模块</w:t>
            </w:r>
          </w:p>
        </w:tc>
        <w:tc>
          <w:tcPr>
            <w:tcW w:w="1851" w:type="dxa"/>
            <w:tcBorders>
              <w:top w:val="single" w:sz="4" w:space="0" w:color="auto"/>
              <w:left w:val="single" w:sz="4" w:space="0" w:color="auto"/>
              <w:bottom w:val="single" w:sz="4" w:space="0" w:color="auto"/>
              <w:right w:val="single" w:sz="4" w:space="0" w:color="auto"/>
            </w:tcBorders>
            <w:vAlign w:val="center"/>
          </w:tcPr>
          <w:p>
            <w:pPr>
              <w:snapToGrid w:val="0"/>
              <w:rPr>
                <w:rFonts w:ascii="宋体" w:hAnsi="宋体"/>
                <w:sz w:val="24"/>
                <w:szCs w:val="24"/>
              </w:rPr>
            </w:pPr>
            <w:r>
              <w:rPr>
                <w:rFonts w:ascii="宋体" w:hAnsi="宋体" w:hint="eastAsia"/>
                <w:sz w:val="24"/>
                <w:szCs w:val="24"/>
              </w:rPr>
              <w:t>部件名称</w:t>
            </w:r>
          </w:p>
        </w:tc>
        <w:tc>
          <w:tcPr>
            <w:tcW w:w="3732" w:type="dxa"/>
            <w:tcBorders>
              <w:top w:val="single" w:sz="4" w:space="0" w:color="auto"/>
              <w:left w:val="single" w:sz="4" w:space="0" w:color="auto"/>
              <w:bottom w:val="single" w:sz="4" w:space="0" w:color="auto"/>
              <w:right w:val="single" w:sz="4" w:space="0" w:color="auto"/>
            </w:tcBorders>
            <w:vAlign w:val="center"/>
          </w:tcPr>
          <w:p>
            <w:pPr>
              <w:snapToGrid w:val="0"/>
              <w:rPr>
                <w:rFonts w:ascii="宋体" w:hAnsi="宋体"/>
                <w:sz w:val="24"/>
                <w:szCs w:val="24"/>
              </w:rPr>
            </w:pPr>
            <w:r>
              <w:rPr>
                <w:rFonts w:ascii="宋体" w:hAnsi="宋体" w:hint="eastAsia"/>
                <w:sz w:val="24"/>
                <w:szCs w:val="24"/>
              </w:rPr>
              <w:t>主要技术参数</w:t>
            </w:r>
          </w:p>
        </w:tc>
      </w:tr>
      <w:tr>
        <w:trPr>
          <w:trHeight w:val="20"/>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pPr>
              <w:snapToGrid w:val="0"/>
              <w:jc w:val="center"/>
              <w:rPr>
                <w:rFonts w:ascii="宋体" w:hAnsi="宋体"/>
                <w:sz w:val="24"/>
                <w:szCs w:val="24"/>
              </w:rPr>
            </w:pPr>
            <w:r>
              <w:rPr>
                <w:rFonts w:ascii="宋体" w:hAnsi="宋体" w:hint="eastAsia"/>
                <w:sz w:val="24"/>
                <w:szCs w:val="24"/>
              </w:rPr>
              <w:t>1</w:t>
            </w:r>
          </w:p>
        </w:tc>
        <w:tc>
          <w:tcPr>
            <w:tcW w:w="2073" w:type="dxa"/>
            <w:vMerge w:val="restart"/>
            <w:tcBorders>
              <w:top w:val="single" w:sz="4" w:space="0" w:color="auto"/>
              <w:left w:val="single" w:sz="4" w:space="0" w:color="auto"/>
              <w:bottom w:val="single" w:sz="4" w:space="0" w:color="auto"/>
              <w:right w:val="single" w:sz="4" w:space="0" w:color="auto"/>
            </w:tcBorders>
            <w:vAlign w:val="center"/>
          </w:tcPr>
          <w:p>
            <w:pPr>
              <w:snapToGrid w:val="0"/>
              <w:rPr>
                <w:rFonts w:ascii="宋体" w:hAnsi="宋体"/>
                <w:sz w:val="24"/>
                <w:szCs w:val="24"/>
              </w:rPr>
            </w:pPr>
            <w:r>
              <w:rPr>
                <w:rFonts w:ascii="宋体" w:hAnsi="宋体" w:hint="eastAsia"/>
                <w:sz w:val="24"/>
                <w:szCs w:val="24"/>
              </w:rPr>
              <w:t>主机模块</w:t>
            </w:r>
          </w:p>
        </w:tc>
        <w:tc>
          <w:tcPr>
            <w:tcW w:w="5583" w:type="dxa"/>
            <w:gridSpan w:val="2"/>
            <w:tcBorders>
              <w:top w:val="single" w:sz="4" w:space="0" w:color="auto"/>
              <w:left w:val="single" w:sz="4" w:space="0" w:color="auto"/>
              <w:bottom w:val="single" w:sz="4" w:space="0" w:color="auto"/>
              <w:right w:val="single" w:sz="4" w:space="0" w:color="auto"/>
            </w:tcBorders>
            <w:vAlign w:val="center"/>
          </w:tcPr>
          <w:p>
            <w:pPr>
              <w:snapToGrid w:val="0"/>
              <w:rPr>
                <w:rFonts w:ascii="宋体" w:hAnsi="宋体"/>
                <w:sz w:val="24"/>
                <w:szCs w:val="24"/>
              </w:rPr>
            </w:pPr>
            <w:r>
              <w:rPr>
                <w:rFonts w:ascii="宋体" w:hAnsi="宋体" w:hint="eastAsia"/>
                <w:sz w:val="24"/>
                <w:szCs w:val="24"/>
              </w:rPr>
              <w:t>主板:</w:t>
            </w:r>
          </w:p>
          <w:p>
            <w:pPr>
              <w:snapToGrid w:val="0"/>
              <w:rPr>
                <w:rFonts w:ascii="宋体" w:hAnsi="宋体"/>
                <w:sz w:val="24"/>
                <w:szCs w:val="24"/>
              </w:rPr>
            </w:pPr>
            <w:r>
              <w:rPr>
                <w:rFonts w:ascii="宋体" w:hAnsi="宋体" w:hint="eastAsia"/>
                <w:sz w:val="24"/>
                <w:szCs w:val="24"/>
              </w:rPr>
              <w:t>支持Android系统；</w:t>
            </w:r>
            <w:r>
              <w:rPr>
                <w:rFonts w:ascii="宋体" w:hAnsi="宋体" w:hint="eastAsia"/>
                <w:sz w:val="24"/>
                <w:szCs w:val="24"/>
              </w:rPr>
              <w:br/>
              <w:t>CPU：4核，1.8 GHz；</w:t>
            </w:r>
          </w:p>
          <w:p>
            <w:pPr>
              <w:snapToGrid w:val="0"/>
              <w:rPr>
                <w:rFonts w:ascii="宋体" w:hAnsi="宋体"/>
                <w:sz w:val="24"/>
                <w:szCs w:val="24"/>
              </w:rPr>
            </w:pPr>
            <w:r>
              <w:rPr>
                <w:rFonts w:ascii="宋体" w:hAnsi="宋体" w:hint="eastAsia"/>
                <w:sz w:val="24"/>
                <w:szCs w:val="24"/>
              </w:rPr>
              <w:t>内存：2G；</w:t>
            </w:r>
          </w:p>
          <w:p>
            <w:pPr>
              <w:snapToGrid w:val="0"/>
              <w:rPr>
                <w:rFonts w:ascii="宋体" w:hAnsi="宋体"/>
                <w:sz w:val="24"/>
                <w:szCs w:val="24"/>
              </w:rPr>
            </w:pPr>
            <w:r>
              <w:rPr>
                <w:rFonts w:ascii="宋体" w:hAnsi="宋体" w:hint="eastAsia"/>
                <w:sz w:val="24"/>
                <w:szCs w:val="24"/>
              </w:rPr>
              <w:t>闪存：16GB；</w:t>
            </w:r>
            <w:r>
              <w:rPr>
                <w:rFonts w:ascii="宋体" w:hAnsi="宋体" w:hint="eastAsia"/>
                <w:sz w:val="24"/>
                <w:szCs w:val="24"/>
              </w:rPr>
              <w:br/>
              <w:t xml:space="preserve">网络：支持10/100/1000Mbps以太网 </w:t>
            </w:r>
          </w:p>
        </w:tc>
      </w:tr>
      <w:tr>
        <w:trPr>
          <w:trHeight w:val="20"/>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pPr>
              <w:snapToGrid w:val="0"/>
              <w:jc w:val="center"/>
              <w:rPr>
                <w:rFonts w:ascii="宋体" w:hAnsi="宋体"/>
                <w:sz w:val="24"/>
                <w:szCs w:val="24"/>
              </w:rPr>
            </w:pPr>
            <w:r>
              <w:rPr>
                <w:rFonts w:ascii="宋体" w:hAnsi="宋体" w:hint="eastAsia"/>
                <w:sz w:val="24"/>
                <w:szCs w:val="24"/>
              </w:rPr>
              <w:t>2</w:t>
            </w:r>
          </w:p>
        </w:tc>
        <w:tc>
          <w:tcPr>
            <w:tcW w:w="2073" w:type="dxa"/>
            <w:vMerge/>
            <w:tcBorders>
              <w:top w:val="single" w:sz="4" w:space="0" w:color="auto"/>
              <w:left w:val="single" w:sz="4" w:space="0" w:color="auto"/>
              <w:bottom w:val="single" w:sz="4" w:space="0" w:color="auto"/>
              <w:right w:val="single" w:sz="4" w:space="0" w:color="auto"/>
            </w:tcBorders>
            <w:vAlign w:val="center"/>
          </w:tcPr>
          <w:p>
            <w:pPr>
              <w:snapToGrid w:val="0"/>
              <w:rPr>
                <w:rFonts w:ascii="宋体" w:hAnsi="宋体"/>
                <w:sz w:val="24"/>
                <w:szCs w:val="24"/>
              </w:rPr>
            </w:pPr>
          </w:p>
        </w:tc>
        <w:tc>
          <w:tcPr>
            <w:tcW w:w="5583" w:type="dxa"/>
            <w:gridSpan w:val="2"/>
            <w:tcBorders>
              <w:top w:val="single" w:sz="4" w:space="0" w:color="auto"/>
              <w:left w:val="single" w:sz="4" w:space="0" w:color="auto"/>
              <w:bottom w:val="single" w:sz="4" w:space="0" w:color="auto"/>
              <w:right w:val="single" w:sz="4" w:space="0" w:color="auto"/>
            </w:tcBorders>
            <w:vAlign w:val="center"/>
          </w:tcPr>
          <w:p>
            <w:pPr>
              <w:snapToGrid w:val="0"/>
              <w:rPr>
                <w:rFonts w:ascii="宋体" w:hAnsi="宋体"/>
                <w:sz w:val="24"/>
                <w:szCs w:val="24"/>
              </w:rPr>
            </w:pPr>
            <w:r>
              <w:rPr>
                <w:rFonts w:ascii="宋体" w:hAnsi="宋体" w:hint="eastAsia"/>
                <w:sz w:val="24"/>
                <w:szCs w:val="24"/>
              </w:rPr>
              <w:t>无线网络:配备WiFi模块</w:t>
            </w:r>
          </w:p>
        </w:tc>
      </w:tr>
      <w:tr>
        <w:trPr>
          <w:trHeight w:val="20"/>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pPr>
              <w:snapToGrid w:val="0"/>
              <w:jc w:val="center"/>
              <w:rPr>
                <w:rFonts w:ascii="宋体" w:hAnsi="宋体"/>
                <w:sz w:val="24"/>
                <w:szCs w:val="24"/>
              </w:rPr>
            </w:pPr>
            <w:r>
              <w:rPr>
                <w:rFonts w:ascii="宋体" w:hAnsi="宋体" w:hint="eastAsia"/>
                <w:sz w:val="24"/>
                <w:szCs w:val="24"/>
              </w:rPr>
              <w:t>3</w:t>
            </w:r>
          </w:p>
        </w:tc>
        <w:tc>
          <w:tcPr>
            <w:tcW w:w="2073" w:type="dxa"/>
            <w:vMerge w:val="restart"/>
            <w:tcBorders>
              <w:top w:val="single" w:sz="4" w:space="0" w:color="auto"/>
              <w:left w:val="single" w:sz="4" w:space="0" w:color="auto"/>
              <w:bottom w:val="single" w:sz="4" w:space="0" w:color="auto"/>
              <w:right w:val="single" w:sz="4" w:space="0" w:color="auto"/>
            </w:tcBorders>
            <w:vAlign w:val="center"/>
          </w:tcPr>
          <w:p>
            <w:pPr>
              <w:snapToGrid w:val="0"/>
              <w:rPr>
                <w:rFonts w:ascii="宋体" w:hAnsi="宋体"/>
                <w:sz w:val="24"/>
                <w:szCs w:val="24"/>
              </w:rPr>
            </w:pPr>
            <w:r>
              <w:rPr>
                <w:rFonts w:ascii="宋体" w:hAnsi="宋体" w:hint="eastAsia"/>
                <w:sz w:val="24"/>
                <w:szCs w:val="24"/>
              </w:rPr>
              <w:t>显示模块</w:t>
            </w:r>
          </w:p>
        </w:tc>
        <w:tc>
          <w:tcPr>
            <w:tcW w:w="5583" w:type="dxa"/>
            <w:gridSpan w:val="2"/>
            <w:tcBorders>
              <w:top w:val="single" w:sz="4" w:space="0" w:color="auto"/>
              <w:left w:val="single" w:sz="4" w:space="0" w:color="auto"/>
              <w:bottom w:val="single" w:sz="4" w:space="0" w:color="auto"/>
              <w:right w:val="single" w:sz="4" w:space="0" w:color="auto"/>
            </w:tcBorders>
            <w:vAlign w:val="center"/>
          </w:tcPr>
          <w:p>
            <w:pPr>
              <w:snapToGrid w:val="0"/>
              <w:rPr>
                <w:rFonts w:ascii="宋体" w:hAnsi="宋体"/>
                <w:sz w:val="24"/>
                <w:szCs w:val="24"/>
              </w:rPr>
            </w:pPr>
            <w:r>
              <w:rPr>
                <w:rFonts w:ascii="宋体" w:hAnsi="宋体" w:hint="eastAsia"/>
                <w:sz w:val="24"/>
                <w:szCs w:val="24"/>
              </w:rPr>
              <w:t>液晶屏:13.3寸高清液晶显示屏</w:t>
            </w:r>
          </w:p>
        </w:tc>
      </w:tr>
      <w:tr>
        <w:trPr>
          <w:trHeight w:val="20"/>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pPr>
              <w:snapToGrid w:val="0"/>
              <w:jc w:val="center"/>
              <w:rPr>
                <w:rFonts w:ascii="宋体" w:hAnsi="宋体"/>
                <w:sz w:val="24"/>
                <w:szCs w:val="24"/>
              </w:rPr>
            </w:pPr>
            <w:r>
              <w:rPr>
                <w:rFonts w:ascii="宋体" w:hAnsi="宋体" w:hint="eastAsia"/>
                <w:sz w:val="24"/>
                <w:szCs w:val="24"/>
              </w:rPr>
              <w:t>4</w:t>
            </w:r>
          </w:p>
        </w:tc>
        <w:tc>
          <w:tcPr>
            <w:tcW w:w="2073" w:type="dxa"/>
            <w:vMerge/>
            <w:tcBorders>
              <w:top w:val="single" w:sz="4" w:space="0" w:color="auto"/>
              <w:left w:val="single" w:sz="4" w:space="0" w:color="auto"/>
              <w:bottom w:val="single" w:sz="4" w:space="0" w:color="auto"/>
              <w:right w:val="single" w:sz="4" w:space="0" w:color="auto"/>
            </w:tcBorders>
            <w:vAlign w:val="center"/>
          </w:tcPr>
          <w:p>
            <w:pPr>
              <w:snapToGrid w:val="0"/>
              <w:rPr>
                <w:rFonts w:ascii="宋体" w:hAnsi="宋体"/>
                <w:sz w:val="24"/>
                <w:szCs w:val="24"/>
              </w:rPr>
            </w:pPr>
          </w:p>
        </w:tc>
        <w:tc>
          <w:tcPr>
            <w:tcW w:w="5583" w:type="dxa"/>
            <w:gridSpan w:val="2"/>
            <w:tcBorders>
              <w:top w:val="single" w:sz="4" w:space="0" w:color="auto"/>
              <w:left w:val="single" w:sz="4" w:space="0" w:color="auto"/>
              <w:bottom w:val="single" w:sz="4" w:space="0" w:color="auto"/>
              <w:right w:val="single" w:sz="4" w:space="0" w:color="auto"/>
            </w:tcBorders>
            <w:vAlign w:val="center"/>
          </w:tcPr>
          <w:p>
            <w:pPr>
              <w:snapToGrid w:val="0"/>
              <w:rPr>
                <w:rFonts w:ascii="宋体" w:hAnsi="宋体"/>
                <w:sz w:val="24"/>
                <w:szCs w:val="24"/>
              </w:rPr>
            </w:pPr>
            <w:r>
              <w:rPr>
                <w:rFonts w:ascii="宋体" w:hAnsi="宋体" w:hint="eastAsia"/>
                <w:sz w:val="24"/>
                <w:szCs w:val="24"/>
              </w:rPr>
              <w:t>触摸屏:13.3寸多点电容触摸屏</w:t>
            </w:r>
          </w:p>
        </w:tc>
      </w:tr>
      <w:tr>
        <w:trPr>
          <w:trHeight w:val="20"/>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pPr>
              <w:snapToGrid w:val="0"/>
              <w:jc w:val="center"/>
              <w:rPr>
                <w:rFonts w:ascii="宋体" w:hAnsi="宋体"/>
                <w:sz w:val="24"/>
                <w:szCs w:val="24"/>
              </w:rPr>
            </w:pPr>
            <w:r>
              <w:rPr>
                <w:rFonts w:ascii="宋体" w:hAnsi="宋体" w:hint="eastAsia"/>
                <w:sz w:val="24"/>
                <w:szCs w:val="24"/>
              </w:rPr>
              <w:t>5</w:t>
            </w:r>
          </w:p>
        </w:tc>
        <w:tc>
          <w:tcPr>
            <w:tcW w:w="2073" w:type="dxa"/>
            <w:vMerge w:val="restart"/>
            <w:tcBorders>
              <w:top w:val="single" w:sz="4" w:space="0" w:color="auto"/>
              <w:left w:val="single" w:sz="4" w:space="0" w:color="auto"/>
              <w:bottom w:val="single" w:sz="4" w:space="0" w:color="auto"/>
              <w:right w:val="single" w:sz="4" w:space="0" w:color="auto"/>
            </w:tcBorders>
            <w:vAlign w:val="center"/>
          </w:tcPr>
          <w:p>
            <w:pPr>
              <w:snapToGrid w:val="0"/>
              <w:rPr>
                <w:rFonts w:ascii="宋体" w:hAnsi="宋体"/>
                <w:sz w:val="24"/>
                <w:szCs w:val="24"/>
              </w:rPr>
            </w:pPr>
            <w:r>
              <w:rPr>
                <w:rFonts w:ascii="宋体" w:hAnsi="宋体" w:hint="eastAsia"/>
                <w:sz w:val="24"/>
                <w:szCs w:val="24"/>
              </w:rPr>
              <w:t>输入模块</w:t>
            </w:r>
          </w:p>
        </w:tc>
        <w:tc>
          <w:tcPr>
            <w:tcW w:w="5583" w:type="dxa"/>
            <w:gridSpan w:val="2"/>
            <w:tcBorders>
              <w:top w:val="single" w:sz="4" w:space="0" w:color="auto"/>
              <w:left w:val="single" w:sz="4" w:space="0" w:color="auto"/>
              <w:bottom w:val="single" w:sz="4" w:space="0" w:color="auto"/>
              <w:right w:val="single" w:sz="4" w:space="0" w:color="auto"/>
            </w:tcBorders>
            <w:vAlign w:val="center"/>
          </w:tcPr>
          <w:p>
            <w:pPr>
              <w:snapToGrid w:val="0"/>
              <w:rPr>
                <w:rFonts w:ascii="宋体" w:hAnsi="宋体"/>
                <w:sz w:val="24"/>
                <w:szCs w:val="24"/>
              </w:rPr>
            </w:pPr>
            <w:r>
              <w:rPr>
                <w:rFonts w:ascii="宋体" w:hAnsi="宋体" w:hint="eastAsia"/>
                <w:sz w:val="24"/>
                <w:szCs w:val="24"/>
              </w:rPr>
              <w:t>读写终端:支持社会保障卡识别</w:t>
            </w:r>
          </w:p>
        </w:tc>
      </w:tr>
      <w:tr>
        <w:trPr>
          <w:trHeight w:val="20"/>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pPr>
              <w:snapToGrid w:val="0"/>
              <w:jc w:val="center"/>
              <w:rPr>
                <w:rFonts w:ascii="宋体" w:hAnsi="宋体"/>
                <w:sz w:val="24"/>
                <w:szCs w:val="24"/>
              </w:rPr>
            </w:pPr>
            <w:r>
              <w:rPr>
                <w:rFonts w:ascii="宋体" w:hAnsi="宋体" w:hint="eastAsia"/>
                <w:sz w:val="24"/>
                <w:szCs w:val="24"/>
              </w:rPr>
              <w:t>6</w:t>
            </w:r>
          </w:p>
        </w:tc>
        <w:tc>
          <w:tcPr>
            <w:tcW w:w="2073" w:type="dxa"/>
            <w:vMerge/>
            <w:tcBorders>
              <w:top w:val="single" w:sz="4" w:space="0" w:color="auto"/>
              <w:left w:val="single" w:sz="4" w:space="0" w:color="auto"/>
              <w:bottom w:val="single" w:sz="4" w:space="0" w:color="auto"/>
              <w:right w:val="single" w:sz="4" w:space="0" w:color="auto"/>
            </w:tcBorders>
            <w:vAlign w:val="center"/>
          </w:tcPr>
          <w:p>
            <w:pPr>
              <w:snapToGrid w:val="0"/>
              <w:rPr>
                <w:rFonts w:ascii="宋体" w:hAnsi="宋体"/>
                <w:sz w:val="24"/>
                <w:szCs w:val="24"/>
              </w:rPr>
            </w:pPr>
          </w:p>
        </w:tc>
        <w:tc>
          <w:tcPr>
            <w:tcW w:w="5583" w:type="dxa"/>
            <w:gridSpan w:val="2"/>
            <w:tcBorders>
              <w:top w:val="single" w:sz="4" w:space="0" w:color="auto"/>
              <w:left w:val="single" w:sz="4" w:space="0" w:color="auto"/>
              <w:bottom w:val="single" w:sz="4" w:space="0" w:color="auto"/>
              <w:right w:val="single" w:sz="4" w:space="0" w:color="auto"/>
            </w:tcBorders>
            <w:vAlign w:val="center"/>
          </w:tcPr>
          <w:p>
            <w:pPr>
              <w:snapToGrid w:val="0"/>
              <w:rPr>
                <w:rFonts w:ascii="宋体" w:hAnsi="宋体"/>
                <w:sz w:val="24"/>
                <w:szCs w:val="24"/>
              </w:rPr>
            </w:pPr>
            <w:r>
              <w:rPr>
                <w:rFonts w:ascii="宋体" w:hAnsi="宋体" w:hint="eastAsia"/>
                <w:sz w:val="24"/>
                <w:szCs w:val="24"/>
              </w:rPr>
              <w:t>身份证阅读器:支持二代身份证识别</w:t>
            </w:r>
          </w:p>
        </w:tc>
      </w:tr>
      <w:tr>
        <w:trPr>
          <w:trHeight w:val="20"/>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pPr>
              <w:snapToGrid w:val="0"/>
              <w:jc w:val="center"/>
              <w:rPr>
                <w:rFonts w:ascii="宋体" w:hAnsi="宋体"/>
                <w:sz w:val="24"/>
                <w:szCs w:val="24"/>
              </w:rPr>
            </w:pPr>
            <w:r>
              <w:rPr>
                <w:rFonts w:ascii="宋体" w:hAnsi="宋体" w:hint="eastAsia"/>
                <w:sz w:val="24"/>
                <w:szCs w:val="24"/>
              </w:rPr>
              <w:t>7</w:t>
            </w:r>
          </w:p>
        </w:tc>
        <w:tc>
          <w:tcPr>
            <w:tcW w:w="2073" w:type="dxa"/>
            <w:vMerge/>
            <w:tcBorders>
              <w:top w:val="single" w:sz="4" w:space="0" w:color="auto"/>
              <w:left w:val="single" w:sz="4" w:space="0" w:color="auto"/>
              <w:bottom w:val="single" w:sz="4" w:space="0" w:color="auto"/>
              <w:right w:val="single" w:sz="4" w:space="0" w:color="auto"/>
            </w:tcBorders>
            <w:vAlign w:val="center"/>
          </w:tcPr>
          <w:p>
            <w:pPr>
              <w:snapToGrid w:val="0"/>
              <w:rPr>
                <w:rFonts w:ascii="宋体" w:hAnsi="宋体"/>
                <w:sz w:val="24"/>
                <w:szCs w:val="24"/>
              </w:rPr>
            </w:pPr>
          </w:p>
        </w:tc>
        <w:tc>
          <w:tcPr>
            <w:tcW w:w="5583" w:type="dxa"/>
            <w:gridSpan w:val="2"/>
            <w:tcBorders>
              <w:top w:val="single" w:sz="4" w:space="0" w:color="auto"/>
              <w:left w:val="single" w:sz="4" w:space="0" w:color="auto"/>
              <w:bottom w:val="single" w:sz="4" w:space="0" w:color="auto"/>
              <w:right w:val="single" w:sz="4" w:space="0" w:color="auto"/>
            </w:tcBorders>
            <w:vAlign w:val="center"/>
          </w:tcPr>
          <w:p>
            <w:pPr>
              <w:snapToGrid w:val="0"/>
              <w:rPr>
                <w:rFonts w:ascii="宋体" w:hAnsi="宋体"/>
                <w:sz w:val="24"/>
                <w:szCs w:val="24"/>
              </w:rPr>
            </w:pPr>
            <w:r>
              <w:rPr>
                <w:rFonts w:ascii="宋体" w:hAnsi="宋体" w:hint="eastAsia"/>
                <w:sz w:val="24"/>
                <w:szCs w:val="24"/>
              </w:rPr>
              <w:t>摄像头:300万像素</w:t>
            </w:r>
          </w:p>
        </w:tc>
      </w:tr>
      <w:tr>
        <w:trPr>
          <w:trHeight w:val="20"/>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pPr>
              <w:snapToGrid w:val="0"/>
              <w:jc w:val="center"/>
              <w:rPr>
                <w:rFonts w:ascii="宋体" w:hAnsi="宋体"/>
                <w:sz w:val="24"/>
                <w:szCs w:val="24"/>
              </w:rPr>
            </w:pPr>
            <w:r>
              <w:rPr>
                <w:rFonts w:ascii="宋体" w:hAnsi="宋体" w:hint="eastAsia"/>
                <w:sz w:val="24"/>
                <w:szCs w:val="24"/>
              </w:rPr>
              <w:t>8</w:t>
            </w:r>
          </w:p>
        </w:tc>
        <w:tc>
          <w:tcPr>
            <w:tcW w:w="2073" w:type="dxa"/>
            <w:vMerge w:val="restart"/>
            <w:tcBorders>
              <w:top w:val="single" w:sz="4" w:space="0" w:color="auto"/>
              <w:left w:val="single" w:sz="4" w:space="0" w:color="auto"/>
              <w:bottom w:val="single" w:sz="4" w:space="0" w:color="auto"/>
              <w:right w:val="single" w:sz="4" w:space="0" w:color="auto"/>
            </w:tcBorders>
            <w:vAlign w:val="center"/>
          </w:tcPr>
          <w:p>
            <w:pPr>
              <w:snapToGrid w:val="0"/>
              <w:rPr>
                <w:rFonts w:ascii="宋体" w:hAnsi="宋体"/>
                <w:sz w:val="24"/>
                <w:szCs w:val="24"/>
              </w:rPr>
            </w:pPr>
            <w:r>
              <w:rPr>
                <w:rFonts w:ascii="宋体" w:hAnsi="宋体" w:hint="eastAsia"/>
                <w:sz w:val="24"/>
                <w:szCs w:val="24"/>
              </w:rPr>
              <w:t>输出模块</w:t>
            </w:r>
          </w:p>
        </w:tc>
        <w:tc>
          <w:tcPr>
            <w:tcW w:w="5583" w:type="dxa"/>
            <w:gridSpan w:val="2"/>
            <w:tcBorders>
              <w:top w:val="single" w:sz="4" w:space="0" w:color="auto"/>
              <w:left w:val="single" w:sz="4" w:space="0" w:color="auto"/>
              <w:bottom w:val="single" w:sz="4" w:space="0" w:color="auto"/>
              <w:right w:val="single" w:sz="4" w:space="0" w:color="auto"/>
            </w:tcBorders>
            <w:vAlign w:val="center"/>
          </w:tcPr>
          <w:p>
            <w:pPr>
              <w:snapToGrid w:val="0"/>
              <w:rPr>
                <w:rFonts w:ascii="宋体" w:hAnsi="宋体"/>
                <w:sz w:val="24"/>
                <w:szCs w:val="24"/>
              </w:rPr>
            </w:pPr>
            <w:r>
              <w:rPr>
                <w:rFonts w:ascii="宋体" w:hAnsi="宋体" w:hint="eastAsia"/>
                <w:sz w:val="24"/>
                <w:szCs w:val="24"/>
              </w:rPr>
              <w:t>热敏打印机:配备58mm热敏打印机</w:t>
            </w:r>
          </w:p>
        </w:tc>
      </w:tr>
      <w:tr>
        <w:trPr>
          <w:trHeight w:val="20"/>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pPr>
              <w:snapToGrid w:val="0"/>
              <w:jc w:val="center"/>
              <w:rPr>
                <w:rFonts w:ascii="宋体" w:hAnsi="宋体"/>
                <w:sz w:val="24"/>
                <w:szCs w:val="24"/>
              </w:rPr>
            </w:pPr>
            <w:r>
              <w:rPr>
                <w:rFonts w:ascii="宋体" w:hAnsi="宋体" w:hint="eastAsia"/>
                <w:sz w:val="24"/>
                <w:szCs w:val="24"/>
              </w:rPr>
              <w:t>9</w:t>
            </w:r>
          </w:p>
        </w:tc>
        <w:tc>
          <w:tcPr>
            <w:tcW w:w="2073" w:type="dxa"/>
            <w:vMerge/>
            <w:tcBorders>
              <w:top w:val="single" w:sz="4" w:space="0" w:color="auto"/>
              <w:left w:val="single" w:sz="4" w:space="0" w:color="auto"/>
              <w:bottom w:val="single" w:sz="4" w:space="0" w:color="auto"/>
              <w:right w:val="single" w:sz="4" w:space="0" w:color="auto"/>
            </w:tcBorders>
            <w:vAlign w:val="center"/>
          </w:tcPr>
          <w:p>
            <w:pPr>
              <w:snapToGrid w:val="0"/>
              <w:rPr>
                <w:rFonts w:ascii="宋体" w:hAnsi="宋体"/>
                <w:sz w:val="24"/>
                <w:szCs w:val="24"/>
              </w:rPr>
            </w:pPr>
          </w:p>
        </w:tc>
        <w:tc>
          <w:tcPr>
            <w:tcW w:w="5583" w:type="dxa"/>
            <w:gridSpan w:val="2"/>
            <w:tcBorders>
              <w:top w:val="single" w:sz="4" w:space="0" w:color="auto"/>
              <w:left w:val="single" w:sz="4" w:space="0" w:color="auto"/>
              <w:bottom w:val="single" w:sz="4" w:space="0" w:color="auto"/>
              <w:right w:val="single" w:sz="4" w:space="0" w:color="auto"/>
            </w:tcBorders>
            <w:vAlign w:val="center"/>
          </w:tcPr>
          <w:p>
            <w:pPr>
              <w:snapToGrid w:val="0"/>
              <w:rPr>
                <w:rFonts w:ascii="宋体" w:hAnsi="宋体"/>
                <w:sz w:val="24"/>
                <w:szCs w:val="24"/>
              </w:rPr>
            </w:pPr>
            <w:r>
              <w:rPr>
                <w:rFonts w:ascii="宋体" w:hAnsi="宋体" w:hint="eastAsia"/>
                <w:sz w:val="24"/>
                <w:szCs w:val="24"/>
              </w:rPr>
              <w:t>音响:配备内置喇叭</w:t>
            </w:r>
          </w:p>
        </w:tc>
      </w:tr>
    </w:tbl>
    <w:p>
      <w:pPr>
        <w:numPr>
          <w:ilvl w:val="2"/>
          <w:numId w:val="1"/>
        </w:numPr>
        <w:tabs>
          <w:tab w:val="clear" w:pos="1571"/>
          <w:tab w:val="left" w:pos="992"/>
        </w:tabs>
        <w:spacing w:line="360" w:lineRule="auto"/>
        <w:rPr>
          <w:rFonts w:ascii="宋体" w:hAnsi="宋体"/>
          <w:sz w:val="24"/>
          <w:szCs w:val="24"/>
        </w:rPr>
      </w:pPr>
      <w:r>
        <w:rPr>
          <w:rFonts w:ascii="宋体" w:hAnsi="宋体" w:hint="eastAsia"/>
          <w:sz w:val="24"/>
          <w:szCs w:val="24"/>
        </w:rPr>
        <w:t>安装网点：</w:t>
      </w:r>
    </w:p>
    <w:tbl>
      <w:tblPr>
        <w:tblpPr w:leftFromText="180" w:rightFromText="180" w:vertAnchor="text" w:horzAnchor="page" w:tblpXSpec="center" w:tblpY="468"/>
        <w:tblOverlap w:val="never"/>
        <w:tblW w:w="8876" w:type="dxa"/>
        <w:tblLook w:val="04A0" w:firstRow="1" w:lastRow="0" w:firstColumn="1" w:lastColumn="0" w:noHBand="0" w:noVBand="1"/>
      </w:tblPr>
      <w:tblGrid>
        <w:gridCol w:w="817"/>
        <w:gridCol w:w="2439"/>
        <w:gridCol w:w="5620"/>
      </w:tblGrid>
      <w:tr>
        <w:trPr>
          <w:cantSplit/>
          <w:trHeight w:val="418"/>
          <w:tblHeader/>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序号</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机构名称</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机构地址</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无锡市古运五爱苑社区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古运五爱苑C区16号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无锡市春暖社区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国信世家璞园116号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lastRenderedPageBreak/>
              <w:t>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尚泽社区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新吴区湘江路6号尚泽社区服务中心</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明泉社区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无锡市锡山区东亭街道明泉社区(东璟幼儿园旁)(变更为惠山区长安街道华惠路119号绿地菜场三楼）</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花郡社区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花郡家园1号3楼</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华亭社区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锡山区东亭新明中路54-56号(变更为首创隽府59号）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东城社区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锡山区东亭恒大绿洲二期会所四楼(变更为（花郡—春阳）</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惠南社区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惠山区绿地世纪城598号104</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寺头社区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惠山区堰桥西青路底(变更为绿景雅苑二期会所四楼）</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无锡市天鹅湖花园社区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无锡市天鹅湖花园C区店铺1-2至1-4</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妇联</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江苏省无锡市清扬路268号(变更为硕放街道新梅路村光明小学内）</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残联</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江苏省无锡市健康路36号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无锡太湖学院</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无锡太湖学院</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无锡南洋职业技术学院</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无锡南洋职业技术学院</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无锡职业技术学院</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无锡职业技术学院</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太湖创意职业技术学院</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太湖创意职业技术学院</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无锡商业职业技术学院</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无锡商业职业技术学院</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江苏信息职业技术学院</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江苏信息职业技术学院</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无锡城市职业技术学院</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无锡城市职业技术学院</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江南影视艺术职业学院</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江南影视艺术职业学院</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无锡技师学院</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无锡技师学院</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无锡科技职业学院</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无锡科技职业学院</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广播电视大学</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广播电视大学</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无锡江南大学（单独采购）</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无锡江南大学（单独采购）</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无锡商贸旅游学校</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无锡商贸旅游学校</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无锡市高训中心</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江苏省无锡市惠山区钱桥镇（藕塘）职教园区源兴路</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无锡市新区社保中心</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无锡市新区社保中心</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无锡市新区劳动保障管理中心</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无锡市新区长江北路2号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无锡市新区人力资源服务中心</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江苏省无锡市新区长江北路2号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lastRenderedPageBreak/>
              <w:t>30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无锡市新区人力资源服务中心</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江苏省无锡市新区长江北路2号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无锡市新区鸿山街道后中村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江苏省无锡市新区鸿山街道后宅后中村委</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无锡市新区鸿山街道梁鸿村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江苏省无锡市新区鸿山街道梁鸿村村民委员会</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无锡市新区鸿山街道建新村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江苏省无锡市新区鸿山街道鸿运西街2号建新村村民委员会</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无锡市新区鸿山街道南塘村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江苏省无锡市新区鸿山街道南塘村村民委员会</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无锡市新区鸿山街道东塘街村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江苏省无锡市新区鸿山街道东塘街居委环鸿路与锡宅路十字路口</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无锡市新区鸿山街道后宅社区居委</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江苏省无锡市新区鸿山街道后宅社区居委会</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无锡市新区鸿山街道鸿运苑社区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江苏省无锡市新区鸿山街道鸿运苑社区市民中心（鸿运街115号）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无锡市新区鸿山街道七房桥村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bookmarkStart w:id="2" w:name="_GoBack"/>
            <w:bookmarkEnd w:id="2"/>
            <w:r>
              <w:rPr>
                <w:rFonts w:ascii="宋体" w:hAnsi="宋体" w:cs="宋体" w:hint="eastAsia"/>
                <w:kern w:val="0"/>
                <w:sz w:val="24"/>
                <w:szCs w:val="24"/>
              </w:rPr>
              <w:t>江苏省无锡市新区鸿山街道七房桥村民委员会</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无锡市新区鸿山街道鸿声社区居委</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江苏省无锡市新区鸿山街道鸿声居委（锡甘路南、国家电网旁）(变更为泰伯大道与振兴路交叉口往西100米）</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无锡市新区鸿山街道鸿泰苑社区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江苏省无锡市新区鸿山街道鸿山路668号睦邻中心</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无锡市新区鸿山街道大新村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江苏省无锡市新区鸿山街道大新村村委</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无锡市新区鸿山街道马桥村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江苏省无锡市新区鸿山街道马桥村村委</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无锡市新区鸿山街道鸿声村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江苏省无锡市新区鸿山街道鸿声村村委</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无锡市新区鸿山街道鸿新村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江苏省无锡市新区鸿山街道鸿新村村委</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无锡市新区鸿山街道鸿泰苑第二社区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江苏省无锡市新区鸿山街道鸿泰苑C区</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无锡市新区梅村街道新南村居委</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江苏省无锡市新区新华路101号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无锡市新区梅村街道梅北村委</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江苏省无锡市新区梅村街道新经路547-4号(变更为新安街道协信阿卡迪亚菱湖社区筹建组）</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无锡市新区梅村街道梅荆花苑第三社区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江苏省无锡市新区梅村街道梅荆6期</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无锡市新区江溪街道太一社区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江苏省无锡市新区太湖花园160号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无锡市新区江溪街道太二社区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江苏省无锡市新区长江北路78号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lastRenderedPageBreak/>
              <w:t>51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无锡市新区江溪街道叙康里社区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江苏省无锡市新区叙康里112号一楼(变更为春城家园B区14号）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无锡市新区江溪街道景渎社区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江苏省无锡市新区欧典家园146号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无锡市新区江溪街道叙丰社区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江苏省无锡市新区叙丰家园265号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无锡市新区江溪街道春城社区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江苏省无锡市新区春城家园2号2楼</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无锡市新区江溪街道东风社区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江苏省无锡市新区永乐东路35号(变更为东风家园59号）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无锡市新区江溪街道新一社区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江苏省无锡市新区新丰苑一区131号(变更为新丰苑三区19号）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无锡市新区江溪街道新二社区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江苏省无锡市新区新丰苑二区57号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无锡市新区江溪街道风雷居委</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江苏省无锡市新区井亭路陈巷10-1</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无锡市新区江溪街道曙光居委</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江苏省无锡市新区塘南路118-1(变更为长江国际泓园58号—2（一体机由曙光村调配至卫星社区）</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无锡市新区江溪街道春明居委</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江苏省无锡市新区鑫明路15号(变更为东鼎家园18号（一体机由春明村调配至鼎城社区））</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无锡市新区旺庄街道人力资源和社会保障所</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无锡市新区旺庄东路106号(变更为新吴区旺庄街道新吴区机场路111号）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无锡市新区旺庄街道新光社区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江苏省无锡市新区兴源南路8号（旺庄老街旁）(变更为新吴区旺庄街道新光嘉园8-11号 ）</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无锡市新区旺庄街道红旗社区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江苏省无锡市新区旺庄街道红旗路红旗居委</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无锡市新区旺庄街道长欣社区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江苏省无锡市新区旺庄街道长欣公寓159号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无锡市新区旺庄街道春一社区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江苏省无锡市新区旺庄春潮园一区70-2号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无锡市新区旺庄街道春二社区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江苏省无锡市新区旺庄春潮园一区253号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无锡市新区旺庄街道春四社区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江苏省无锡市新区旺庄街道锡士路468号3楼</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无锡市新区旺庄街道高浪社区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江苏省无锡市新区旺庄高浪路高浪嘉园80号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无锡市新区旺庄街道春雷社区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江苏省无锡市新区旺庄街道旺庄春雷社区居委荷井1号(变更为新吴区旺庄街道春雷荷花丼1号）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70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无锡市新区旺庄街道长江社区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江苏省无锡市新区旺庄街道长江北路11-37号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71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无锡市新区旺庄街道春丰社区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江苏省无锡市新区旺庄街道旺庄春丰员工楼C幢2楼(变更为新吴区旺庄街道春潮花园二区187号）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lastRenderedPageBreak/>
              <w:t>72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无锡市新区旺庄街道春潮园第三社区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无锡市新区春潮花园二区43号(变更为新吴区旺庄街道春潮花园二区43号）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73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无锡市新区硕放街道人力资源和社会保障所</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无锡市新区硕放街道睦邻中心二楼</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74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无锡市新区硕放街道墙裕居民委员会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江苏省无锡市新区硕放街道墙裕居民委员会</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75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无锡市新区硕放街道合新居民委员会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江苏省无锡市新区硕放街道合新居民委员会</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76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无锡市新区硕放街道溇金居民委员会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江苏省无锡市新区硕放街道溇金居民委员会</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77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无锡市新区硕放街道润硕苑居民委员会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江苏省无锡市新区硕放街道润硕苑居民委员会</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78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无锡市新区硕放街道咏硕苑居民委员会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江苏省无锡市新区硕放街道咏硕苑居民委员会</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79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无锡市新区硕放街道南星苑一社区居民委员会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江苏省无锡市新区硕放街道南星苑一社区居民委员会</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80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无锡市新区硕放街道南星苑二社区居民委员会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江苏省无锡市新区硕放街道南星苑二社区居民委员会</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81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无锡市新区硕放街道吉祥花园居民委员会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江苏省无锡市新区硕放街道吉祥花园居民委员会</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82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无锡市新区硕放街道丽景佳苑居民委员会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江苏省无锡市新区硕放街道丽景佳苑居民委员会</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83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无锡市新区硕放街道景硕苑居民委员会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江苏省无锡市新区硕放街道景硕苑居民委员会(变更为硕放街道锦硕苑居民委员会）</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84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无锡市新区硕放街道香楠居民委员会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江苏省无锡市新区硕放街道裕安一路</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85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无锡市新区硕放街道黄家门居民委员会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江苏省无锡市新区硕放街道香楠路17号恒源办公机械有限公司内</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86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无锡市新区硕放街道杨家湾居民委员会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江苏省无锡市新区硕放街道锡宅路天地华宇物流旁</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87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无锡市新区硕放街道新梅路居民委员会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江苏省无锡市新区硕放街道新梅路村西沈巷3号(变更为硕放街道新梅路村光明小学内）</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88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无锡市新区新安街道人力资源和社会保障所</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无锡市新区新安振新路26号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89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无锡市新区新安街道社区和风</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江苏省无锡市新区华庄街道凯发苑二期门面房</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90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无锡市新区新安街道新安花苑第三社区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江苏省无锡市新区新安街道新安花苑三区140号102室(变更为新安街道新安花苑第三社区服务中心）</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91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无锡市新区新安街道新安社区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江苏省无锡市新区新安街道振新路35号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lastRenderedPageBreak/>
              <w:t>92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无锡市新区新安街道新安花苑第一社区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江苏省无锡市新区新安花苑第一社区副睦邻中心160号（新安第一社区居委会）</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93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无锡市新区新安街道净湖社区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江苏省无锡市新区新安街道青年公社（一支路）</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94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无锡市崇安区崇安寺街道崇宁路社区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江苏省无锡市崇安区田基浜20-1/2号(变更为小娄巷横街8-1）</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95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无锡市崇安区崇安寺街道新街巷社区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江苏省无锡市崇安区大虹霓桥2号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96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无锡市崇安区崇安寺街道东河花园社区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江苏省无锡市崇安区留芳声巷27号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97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无锡市崇安区崇安寺街道南市桥巷社区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江苏省无锡市崇安区南市桥巷86号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98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无锡市崇安区崇安寺街道崇安寺社区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江苏省无锡市崇安区崇安寺街道东映山河33号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99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无锡市崇安区崇安寺街道胜利门社区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江苏省无锡市崇安区崇安寺街道天成巷12号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100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无锡市崇安区崇安寺街道百岁坊巷社区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江苏省无锡市崇安区崇安寺街道新生路9号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101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无锡市崇安区江海街道劳动保障所</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无锡市崇安区宁海里113号(变更为学前东路789号）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102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无锡市崇安区江海街道宁海里南片社区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江苏省无锡市崇安区宁海里216号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103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无锡市崇安区江海街道宁北社区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江苏省无锡市崇安区江海街道宁海里187-1号(变更为金科观庭22-301）</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104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无锡市崇安区江海街道江海社区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江苏省无锡市崇安区江海街道江海新村23号对面(变更为江海新村38号）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105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无锡市崇安区江海街道和里社区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江苏省无锡市崇安区江海街道风顺里47号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106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无锡市崇安区上马墩街道简新社区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江苏省无锡市崇安区上马墩三村19-1(变更为江苏省无锡市梁溪区人民东路577-1-32）</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107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无锡市崇安区广益街道尤渡</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江苏省无锡市崇安区尤渡苑91号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108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无锡市崇安区广益街道丁村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江苏省无锡市崇安区广瑞二村吴巷前59号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109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无锡市崇安区广益街道向阳</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江苏省无锡市崇安区广瑞路2175号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110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无锡市崇安区广益街道广益佳苑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江苏省无锡市崇安区广益佳苑87-3</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111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无锡市崇安区莫家庄社区（广益街道）劳动保障所</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无锡市崇安区广南路600号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112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无锡市南长区社保中心</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无锡市南长区社保中心</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lastRenderedPageBreak/>
              <w:t>113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无锡市南长区劳动保障管理中心</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无锡市南长区通扬南路80号（区行政服务中心一楼）(变更为清名路380号）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114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无锡市南长区迎龙桥街道五爱家园社区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江苏省无锡市南长区五爱家园49号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115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无锡市南长区南禅寺保障所</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无锡市南长区虹桥下73号（街道行政服务中心）</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116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无锡市南长区南禅寺街道柴机三区社区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江苏省无锡市南长区柴机新村74-1</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117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无锡市南长区南禅寺街道塘南新村社区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江苏省无锡市南长区南禅寺街道塘南新村125号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118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无锡市南长区清名桥街道沁一社区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江苏省无锡市南长区沁园新村73号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119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无锡市南长区清名桥街道沁三社区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江苏省无锡市南长区沁园新村259号(变更为沁园新村757对面车库）</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120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无锡市南长区清名桥街道清一社区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江苏省无锡市南长区翠云新村13号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121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无锡市南长区清名桥街道伯渎社区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江苏省无锡市南长区东风新村1号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122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无锡市南长区清名桥街道沁二社区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江苏省无锡市南长区清名桥街道沁园新村476号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123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无锡市南长区清名桥街道塘泾桥社区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江苏省无锡市南长区清名桥街道南长街687号(变更为塘泾里小区9号楼）</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124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无锡市南长区清名桥街道清名桥社区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江苏省无锡市南长区清名桥街道镇堂弄8号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125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无锡市南长区扬名街道梁中社区工作站</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江苏省无锡市南长区南湖大道618号(变更为南湖大道588-1四楼）</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126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无锡市南长区扬名街道清一社区工作站</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江苏省无锡市南长区沁园新村868号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127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无锡市南长区扬名街道淸二社区工作站</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江苏省无锡市南长区清名路300号(变更为清二水仙里91号）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128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无锡市南长区扬名街道五星社区工作站</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江苏省无锡市南长区五星家园788号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129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无锡市南长区扬名街道扬名社区工作站</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江苏省无锡市南长区曹张张巷251号 (变更为江苏省无锡市梁溪区红星桥南匝道红星苑二期8号）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130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无锡市南长区扬名街道芦二社区工作站</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江苏省无锡市南长区芦庄六区220-8-9(变更为芦庄六区132-1）</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131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无锡市南长区金匮街道五星家园第二社区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江苏省无锡市南长区五星家园124号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132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无锡市南长区金匮街道五星家园第一社区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江苏省无锡市南长区五星家园118号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133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无锡市北塘区市社保中心北塘办事处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无锡市北塘区市社保中心北塘办事处</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134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无锡市北塘区劳动保障管理中心</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无锡市北塘区凤宾路58号(变更为清名路380号）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lastRenderedPageBreak/>
              <w:t>135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无锡市北塘区广石社区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无锡市北塘区广石家园一区101号2楼</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136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无锡市北塘区黄巷街道惠山</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江苏省无锡市北塘区无锡市通盛路孙巷108号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137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无锡市北塘区黄巷街道梨庄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江苏省无锡市北塘区锡沪西路蒲柴桥1号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138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无锡市北塘区黄巷街道高泾</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江苏省无锡市北塘区高泾社区李巷1－1号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139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无锡市北塘区黄巷街道前村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江苏省无锡市北塘区锡澄路前村社区西前村185号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140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无锡市北塘区黄巷街道庄前</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江苏省无锡市北塘区黄巷街道庄前社区任巷135-1</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141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无锡市北塘区黄巷街道杨木桥</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江苏省无锡市北塘区黄巷街道民丰北苑68号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142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无锡市北塘区黄巷街道民二</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江苏省无锡市北塘区黄巷街道民丰家园一区26号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143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无锡市北塘区黄巷街道刘二</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江苏省无锡市北塘区黄巷街道刘潭二村５９号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144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无锡市北塘区黄巷街道刘一</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江苏省无锡市北塘区黄巷街道刘潭任钱路115号(变更为山水湖滨二期385-1）</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145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无锡市北塘区黄巷街道民一</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江苏省无锡市北塘区黄巷街道民丰里44号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146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无锡市北塘区黄巷街道龙一</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江苏省无锡市北塘区黄巷街道龙塘家园312号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147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无锡市北塘区黄巷街道盛世</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江苏省无锡市北塘区黄巷街道民丰路187号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148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无锡市北塘区山北街道山北社区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江苏省无锡市北塘区新惠路37号(变更为奕盛花园2号楼）</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149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无锡市北塘区山北街道奕盛</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江苏省无锡市北塘区山北街道奕盛花园2号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150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无锡市北塘区北大街街道劳动保障所</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无锡市北塘区北塘大街188号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151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无锡市北塘区北大街街道南尖社居委</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江苏省无锡市北塘区南尖23-1</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152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无锡市北塘区北大街街道五河一社居委</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江苏省无锡市北塘区五河新村105-1</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153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无锡市北塘区北大街街道丽新路社居委</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江苏省无锡市北塘区丽新路19号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154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无锡市北塘区北大街街道荷花里社居委</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江苏省无锡市北塘区中大颐和湾11号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155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无锡市北塘区北大街街道锡澄社居委</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江苏省无锡市北塘区康桥丽景17号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156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无锡市北塘区北大街街道凤宾路居委</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江苏省无锡市北塘区凤宾家园115号三楼</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lastRenderedPageBreak/>
              <w:t>157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无锡市北塘区北大街街道五河二社居委</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江苏省无锡市北塘区五河新村361号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158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无锡市北塘区北大街街道莲蓉社居委</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 xml:space="preserve">江苏省无锡市北塘区北大街街道嘉德花园25号 </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159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无锡市北塘区北大街街道古运河社居委</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江苏省无锡市北塘区北大街街道禾嘉苑45号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160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无锡市北塘区北大街街道后祁街社居委</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江苏省无锡市北塘区北大街街道九间头27号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161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无锡市锡山区社保中心</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无锡市锡山区社保中心</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162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无锡市锡山区就管中心</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江苏省无锡市锡山区东亭二泉中路139号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163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无锡市锡山区云林街道蓉阳村委</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江苏省无锡市锡山区梓旺一路(变更为江苏省无锡市锡山区蓉裕路50号）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164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无锡市锡山区云林街道春雷社区居委</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江苏省无锡市锡山区春笋西路锡山开发区工业园1期3楼</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165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无锡市锡山区云林街道双桥村村委</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江苏省无锡市锡山区芙蓉二路东88号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166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无锡市锡山区云林街道长大厦社区居委</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江苏省无锡市锡山区云林苑西区81号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167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无锡市锡山区云林街道春象社区居委</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江苏省无锡市锡山区云林苑西区北门口</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168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无锡市锡山区云林街道钱家庄社区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江苏省无锡市锡山区春笋中路125号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169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无锡市锡山区云林街道仓下社区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江苏省无锡市锡山区凤威路55号(变更为江苏省无锡市钱长路59号）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170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无锡市锡山区云林街道竹园社区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江苏省无锡市锡山区二泉中路赛维拉商业广场2号楼518号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171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无锡市锡山区东亭街道人力资源和社会保障所</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无锡市锡山区锡沪东路58号（东亭街道里面）(变更为通云路3号竹苑新村内）</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172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无锡市锡山区东亭街道东亭社区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江苏省无锡市锡山区友谊中路15号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173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无锡市锡山区东亭街道东街社区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江苏省无锡市锡山区老街路39号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174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无锡市锡山区东亭街道庄桥社区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江苏省无锡市锡山区庄桥路2号(变更为金福北苑26-27号）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175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无锡市锡山区东亭街道春星社区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江苏省无锡市锡山区春合苑北区服务中心</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176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无锡市锡山区东亭街道映月社区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江苏省无锡市锡山区华夏中路36号(变更为新明中路49-20）(变更为江苏省无锡市惠山区堰桥街道西漳西新路21号天一社区）</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177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无锡市锡山区安镇街道安南村委</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江苏省无锡市锡山区安镇锡东大道中安桥加油站旁</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lastRenderedPageBreak/>
              <w:t>178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无锡市锡山区安镇街道团结村委</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江苏省无锡市锡山区安镇鑫安三期润富里51号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179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无锡市锡山区安镇街道胶南村委</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江苏省无锡市锡山区安镇胶南翠屏路10号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180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无锡市锡山区安镇街道胶西村委</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江苏省无锡市锡山区安镇胶西路6号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181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无锡市锡山区安镇街道安镇村委</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江苏省无锡市锡山区锡东大道黄家桥墩南100米(变更为无锡市锡山区安镇街水岸街65号)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182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无锡市锡山区安镇街道大厍头村委</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江苏省无锡市锡山区查桥吼山公园脚下</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183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无锡市锡山区安镇街道查桥村委</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江苏省无锡市锡山区查桥金牛小区门口</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184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无锡市锡山区安镇街道山河村委</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江苏省无锡市锡山区安镇街道查桥山河村</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185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无锡市锡山区安镇街道春光村委</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江苏省无锡市锡山区查桥市民广场大楼</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186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无锡市锡山区安镇街道查桥居委</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江苏省无锡市锡山区安镇街道查桥影剧院（查桥人民广场旁）</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187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无锡市锡山区安镇街道鑫安居委</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江苏省无锡市锡山区鑫安居委孟家苑</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188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无锡市锡山区安镇街道谈村村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江苏省无锡市锡山区安镇街道查桥谈村村委</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189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无锡市锡山区厚桥街道年余村委</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江苏省无锡市锡山区锡沪路右转到东盛路，往南200米左右(变更为厚桥街道大诚苑邻中心睦东盛路992号）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190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无锡市锡山区羊尖镇龙凤巷村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江苏省无锡市锡山区龙凤巷村钱家塘</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191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无锡市锡山区羊尖镇居委</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江苏省无锡市锡山区羊尖镇羊尖大街33号(变更为羊尖大街100号）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192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无锡市锡山区鹅湖镇燕水庄村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江苏省无锡市锡山区燕水庄村村委</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193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无锡市锡山区鹅湖镇圩厍村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江苏省无锡市锡山区圩厍村村委</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194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无锡市锡山区鹅湖镇青荡村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江苏省无锡市锡山区青荡村村委</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195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无锡市锡山区东北塘街道人力资源和社会保障所</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无锡市锡山区东北塘睦邻中心步行街（变更为无锡市锡山区东北塘街道行政服务中心）</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196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无锡市锡山区锡北镇人力资源和社会保障所</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无锡市锡山区锡北镇锡港东路（镇政府里面）</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197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无锡市锡山区锡北镇泾新村服务中心大厅</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江苏省无锡市锡山区锡北镇锡港东路260号(变更为江苏省无锡市锡山区锡北镇锡港东路209号）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lastRenderedPageBreak/>
              <w:t>198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无锡市锡山区锡北镇联新村委服务大厅</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江苏省无锡市锡山区锡北镇长八路口</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199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无锡市锡山区锡北镇新明村委服务大厅</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江苏省无锡市锡山区锡北镇新明村新光路1号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200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无锡市锡山区锡北镇新寨路寨门村委会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江苏省无锡市锡山区锡北镇新寨路寨门村委会</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201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无锡市锡山区锡北镇东房桥村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江苏省无锡市锡山区锡北镇东房桥村村委会</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202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无锡市锡山区锡北镇斗山村委</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江苏省无锡市锡山区锡北镇斗山村斗星路斗山村委</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203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无锡市锡山区锡山区锡北镇劲丰村委</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江苏省无锡市锡山区锡北镇劲丰村</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204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无锡市锡山区锡北镇新坝村委二楼微机室</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江苏省无锡市锡山区锡北镇新坝村老锡沙线南</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205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无锡市锡山区锡北镇张泾居委</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江苏省无锡市锡山区锡北镇锡港西路97号(变更为江苏省无锡市锡山区二泉中路赛维拉商业广场7号楼187号）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206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无锡市锡山区锡北镇光明村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江苏省无锡市锡山区锡北镇红旗路(变更为江苏省无锡市锡山区锡北镇光明村锡安路与西联路交汇处）</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207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无锡市锡山区锡北镇春风村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江苏省无锡市锡山区锡北镇春风村</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208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无锡市锡山区锡北镇八士居委</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江苏省无锡市锡山区八士市镇芙蓉东路朝晖桥堍</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209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无锡市锡山区锡北镇斗山花苑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江苏省无锡市锡山区锡北镇八士斗山花苑</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210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无锡市锡山区东港镇人力资源和社会保障所</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无锡市锡山区东港镇湘山路(变更为无锡市锡山区东港镇东湖塘睦邻中心）</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211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无锡市锡山区东港镇湖塘桥社区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江苏省无锡锡山区东港镇湖塘桥社区</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212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无锡市锡山区东港镇黄土塘村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江苏省无锡锡山区东港镇黄土塘村</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213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无锡市锡山区东港镇东青河村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江苏省无锡锡山区东港镇东青河村</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214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无锡市锡山区东港东湖塘居委</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江苏省无锡市锡山区东湖塘居委(变更为：锡山区东港镇东湖塘西大桥北桥堍1号)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215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无锡市锡山区东亭街道门楼社区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无锡市锡山区东亭华夏中路金锡苑北区小区内</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216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无锡市社会保险基金管理中心惠山办事处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无锡市惠山区堰桥政和大道182号五楼大厅</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217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无锡市惠山区劳动就业管理中心</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 xml:space="preserve">无锡市惠山区堰桥政和大道182号一楼大厅(变更为借给阳山新渎社区） </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218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无锡市惠山区劳动就业管理中心3</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无锡市惠山区惠山大道108号政务服务中心4楼</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lastRenderedPageBreak/>
              <w:t>219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无锡市惠山区劳动就业管理中心4</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无锡市惠山区惠山大道108号政务服务中心4楼</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220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无锡市惠山区劳动就业管理中心5</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无锡市惠山区惠山大道108号政务服务中心4楼</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221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无锡市惠山区劳动就业管理中心6</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无锡市惠山区惠山大道108号政务服务中心4楼</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222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无锡市惠山区长安街道劳动和社会保障所</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无锡市惠山区堰桥堰新路318号（长安行政服务中心）</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223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无锡市惠山区长安街道金惠社区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江苏省无锡市惠山区长安街道金惠苑89号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224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无锡市惠山区长安街道新惠社区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江苏省无锡市惠山区长安街道新惠苑36号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225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无锡市惠山区长安街道堰新社区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江苏省无锡市惠山区长安街道堰新路睦邻中心</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226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无锡市惠山区长安街道长宁社区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江苏省无锡市惠山区长安街道长宁苑三期</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227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无锡市惠山区堰桥街道劳动和社会保障所</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无锡市惠山区堰桥堰玉路4号（行政服务大厅内）</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228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无锡市惠山区堰桥街道堰桥社区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江苏省无锡市惠山区堰桥文化站内(变更为江苏省无锡市惠山区堰桥文化站内锡澄北段1号）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229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无锡市惠山区堰桥街道堰北社区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江苏省无锡市惠山区堰北社区</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230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无锡市惠山区堰桥街道刘仓社区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江苏省无锡市惠山区仓桥村委(变更为堰桥堰新苑四期996-3社区居委）</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231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无锡市惠山区堰桥街道长安社区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江苏省无锡市惠山区长安老政府内(变更为惠山区堰桥街道长安社区石新路1号）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232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无锡市惠山区堰桥街道姑城塘社区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江苏省无锡市惠山区王家庄村(变更为江苏省无锡市惠山区堰桥街道姑里社区黄兴桥堍南）</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233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无锡市惠山区堰桥街道尤旺社区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江苏省无锡市惠山区北西漳路50号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234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无锡市惠山区堰桥街道横街社区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江苏省无锡市惠山区西漳橡机大道</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235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无锡市惠山区堰桥街道天翔社区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江苏省无锡市惠山区天河小区(变更为江苏省无锡市惠山区凤翔馨城103号）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236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无锡市惠山区堰桥街道陈家桥社区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江苏省无锡市惠山区天一街12号(变更为江苏省无锡市惠山区堰桥街道西漳天池路261号）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237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无锡市惠山区堰桥街道林陆巷社区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江苏省无锡市惠山区堰桥街道林陆巷社区林新路19号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238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无锡市惠山区堰桥街道塘头社区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江苏省无锡市惠山区堰桥街道塘头村塘头桥东(变更为江苏省无锡市惠山区堰桥街道塘头社区塘新路45号）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239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无锡市惠山区堰桥街道天一社区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江苏省无锡市惠山区堰桥街道西漳天一社区</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lastRenderedPageBreak/>
              <w:t>240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无锡市惠山区堰桥街道新街社区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江苏省无锡市惠山区堰桥街道新街社区林新路</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241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无锡市惠山区堰桥街道天阳社区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江苏省无锡市惠山区堰桥街道天阳100光矩阵会所1号楼(变更为江苏省无锡市惠山区堰桥街道西漳水澄路阳光壹佰国际城1号）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242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无锡市惠山区堰桥街道寺头社区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无锡市惠山区电子商务大厦东面(变更为无锡市惠山区堰桥街道天锦路100-1）</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243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无锡市惠山区前洲街道劳动和社会保障所</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无锡市惠山区前洲娱乐城西大厅（服务大厅内）(变更为前洲街道桃源路1号）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244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无锡市惠山区前洲街道黄石街村委</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江苏省无锡市惠山区前洲黄石街村委</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245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无锡市惠山区前洲街道蒋巷村委</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江苏省无锡市惠山区前洲蒋巷村委</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246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无锡市惠山区前洲街道谢村村委</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江苏省无锡市惠山区前洲谢村村委</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247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无锡市惠山区前洲街道万里村委</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江苏省无锡市惠山区前洲万里村委</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248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无锡市惠山区前洲街道新印桥村村民委员会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江苏省无锡市惠山区前洲街道新印桥村村民委员会</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249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无锡市惠山区前洲街道西塘村民委员会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江苏省无锡市惠山区前洲街道西塘村民委员会</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250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无锡市惠山区前洲街道张皋庄村村民委员会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江苏省无锡市惠山区前洲街道张皋庄村村民委员会</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251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无锡市惠山区前洲街道邓巷社区1</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无锡市惠山区前洲街道邓北路(前洲中学对面）</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252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无锡市惠山区玉祁街道劳动和社会保障所</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无锡市惠山区玉祁汽车站东（劳动保障所内）</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253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无锡市惠山区玉祈街道玉鑫社区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江苏省无锡市惠山区玉祁街道玉鑫社区(变更为玉鑫新村（祁新糕团店旁））</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254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无锡市惠山区玉祈街道蓉东村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江苏省无锡市惠山区玉祁街道蓉东村</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255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无锡市惠山区玉祈街道黄泥坝村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江苏省无锡市惠山区玉祁街道黄泥坝村</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256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无锡市惠山区玉祈街道玉西村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江苏省无锡市惠山区玉祁街道玉西村</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257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无锡市惠山区玉祈街道开发区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江苏省无锡市惠山区玉祁街道开发区</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258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无锡市惠山区玉祈街道居委会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江苏省无锡市惠山区玉祁街道居委会</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259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无锡市惠山区洛社镇劳动和社会保障所</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 xml:space="preserve">无锡市惠山区洛社新兴西路9号一楼(变更为惠山区洛社镇新兴东路） </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lastRenderedPageBreak/>
              <w:t>260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无锡市惠山区洛社街道钱   巷</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江苏省无锡市惠山区钱巷社区</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261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无锡市惠山区洛社街道六龙社区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江苏省无锡市惠山区育才路1号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262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无锡市惠山区洛社街道双庙村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江苏省无锡市惠山区双庙村委</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263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无锡市惠山区洛社街道华圻村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江苏省无锡市惠山区花旗村委(变更为惠山区洛社镇华圻村）</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264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无锡市惠山区洛社街道张镇桥村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江苏省无锡市惠山区张镇安置小区</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265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无锡市惠山区洛社街道红明村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江苏省无锡市惠山区红明村委</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266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无锡市惠山区洛社街道社保所石塘湾点</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江苏省无锡市惠山区封溪园1号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267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无锡市惠山区洛社街道秦巷村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江苏省无锡市惠山区秦巷村委</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268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无锡市惠山区洛社街道梅泾村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江苏省无锡市惠山区梅泾村委</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269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无锡市惠山区洛社街道社保所杨市点</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江苏省无锡市惠山区杨市人民8号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270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无锡市惠山区洛社街道福山村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江苏省无锡市惠山区福山村委</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271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无锡市惠山区洛社街道润扬村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江苏省无锡市惠山区润扬村委</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272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无锡市惠山区洛社街道洛社镇正明村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江苏省无锡市惠山区洛社街道正明村</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273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无锡市惠山区洛社街道洛社镇天授村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江苏省无锡市惠山区洛社街道天授村</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274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无锡市惠山区洛社街道洛社镇镇北村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江苏省无锡市惠山区洛社街道镇北村</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275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无锡市惠山区洛社街道天授村1</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无锡市惠山区洛社镇杨市投资服务中心(变更为无锡市惠山区洛社街道陡门村）</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276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无锡市惠山区洛社街道成教中心</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无锡市惠山区洛社镇人民路40号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277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无锡市惠山区钱桥街道劳动和社会保障所</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无锡市惠山区钱桥大街141号行政服务中心</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278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无锡市惠山区钱桥街道钱桥社区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江苏省无锡市惠山区钱桥街道钱桥社区办事处服务大厅</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279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无锡市惠山区钱桥街道苏庙社区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江苏省无锡市惠山区钱桥街道苏庙村锡陆路302号苏庙社区居民委员会</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280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无锡市惠山区钱桥街道溪南社区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江苏省无锡市惠山区钱桥街道钱桥社区溪南社区办事处一楼服务大厅</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281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无锡市惠山区钱桥街道洋溪社区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江苏省无锡市惠山区钱桥街道洋溪社区办事处服务大厅</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lastRenderedPageBreak/>
              <w:t>282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无锡市惠山区钱桥街道华新社区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江苏省无锡市惠山区钱桥盛岸西路华新社区办事处服务大厅(变更为钱桥钱胡公路17号）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283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无锡市惠山区钱桥街道晓丰社区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江苏省无锡市惠山区钱桥钱惠路晓丰社区办事处服务大厅(变更为江苏省无锡市惠山区钱桥街道钱威路221号）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284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无锡市惠山区钱桥街道东风社区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江苏省无锡市惠山区钱桥锡陆路东风社区办事处服务大厅(变更为新藕苑小区南大门）</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285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无锡市惠山区钱桥街道藕乐苑社区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江苏省无锡市惠山区钱桥街道藕乐苑社区居民委员会办事处服务大厅</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286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无锡市惠山区钱桥街道晴山蓝城社区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江苏省无锡市惠山区钱桥晴山蓝城137号晴山蓝城售楼处旁晴山蓝城社区</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287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无锡市惠山区钱桥街道舜柯社区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江苏省无锡市惠山区钱桥街道舜柯社区</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288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无锡市惠山区钱桥街道藕塘社区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江苏省无锡市惠山区钱桥街藕塘社区</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289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无锡市惠山区钱桥街道盛峰社区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江苏省无锡市惠山区钱桥街盛峰社区</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290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无锡市惠山区钱桥街道稍塘社区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江苏省无锡市惠山区钱桥街稍塘社区</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291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无锡市惠山区钱桥街道成教中心</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无锡市惠山区钱桥街道职教园区文良路88号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292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无锡市惠山区阳山镇劳动和社会保障所</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无锡市惠山区阳山镇政府行政服务大厅</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293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无锡市惠山区阳山镇火炬村民委员会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江苏省无锡市惠山区阳山镇火炬村民委员会</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294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无锡市惠山区阳山镇冬青村民委员会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江苏省无锡市惠山区阳山镇冬青村民委员会</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295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无锡市惠山区阳山镇桃源村民委员会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江苏省无锡市惠山区阳山镇桃源村民委员会</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296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无锡市惠山区阳山镇普照村民委员会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江苏省无锡市惠山区阳山镇普照村民委员会</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297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无锡市惠山区阳山镇阳山村民委员会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江苏省无锡市惠山区阳山镇阳山村民委员会</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298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无锡市惠山区阳山镇光明村民委员会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江苏省无锡市惠山区阳山镇光明村民委员会</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299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无锡市惠山区阳山镇鸿桥村民委员会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江苏省无锡市惠山区阳山镇鸿桥村民委员会</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300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无锡市惠山区阳山镇安阳山1</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无锡市惠山区阳山镇安阳山村委（无锡凯马对面）</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301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无锡市滨湖区社保中心</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无锡市滨湖区社保中心</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302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无锡市滨湖区滨湖区劳保中心</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无锡市滨湖区无锡梁青路718号（(变更为是梁清路718号）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lastRenderedPageBreak/>
              <w:t>303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无锡市滨湖区滨湖区劳保中心</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无锡市滨湖区无锡梁青路719号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304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无锡市滨湖区滨湖区劳保中心</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江苏省无锡市滨湖区梁清路718号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305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无锡市滨湖区滨湖区劳保中心</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江苏省无锡市滨湖区梁清路718号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306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无锡市滨湖区滨湖区劳保中心</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江苏省无锡市滨湖区梁清路718号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307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无锡市滨湖区滨湖区劳保中心</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江苏省无锡市滨湖区梁清路718号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308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无锡市滨湖区华庄街道凯发苑第一社区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江苏省无锡市滨湖区华庄街道凯发苑223号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309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无锡市滨湖区滨湖区劳保中心</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江苏省无锡市滨湖区梁清路718号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310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无锡市滨湖区滨湖区劳保中心</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江苏省无锡市滨湖区梁清路718号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311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无锡市滨湖区滨湖区劳保中心</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江苏省无锡市滨湖区梁清路718号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312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无锡市滨湖区滨湖区劳保中心</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江苏省无锡市滨湖区梁清路718号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313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无锡市滨湖区雪浪街道(劳动保障所)</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无锡市滨湖区雪浪公园党校内</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314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无锡市滨湖区雪浪街道军嶂社区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江苏省无锡市滨湖区雪浪街道山水东路708号（军嶂社区）</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315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无锡市滨湖区雪浪街道许舍社区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江苏省无锡市滨湖区雪浪街道许舍社区戴巷88号(变更为江苏省无锡市滨湖区雪浪街道雪浪山庄369号）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316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无锡市滨湖区雪浪街道保障所窗口（原滨湖）</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江苏省无锡市滨湖区雪浪街道兴隆街119号(变更为江苏省无锡市滨湖区雪浪街道方泉苑333号）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317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无锡市滨湖区雪浪街道裕新社区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江苏省无锡市滨湖区雪浪街道裕新社区</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318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无锡市滨湖区雪浪街道壬港社区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江苏省无锡市滨湖区雪浪街道壬港社区</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319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无锡市滨湖区雪浪街道石塘社区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江苏省无锡市滨湖区雪浪街道石塘新村68号(变更为江苏省无锡市滨湖区雪浪街道澜岸铭邸439-105）</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320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无锡市滨湖区华庄街道尚锦城社区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江苏省无锡市滨湖区华庄街道瑞景道93-95(变更为华庄街道瑞景道93-95号）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321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无锡市滨湖区雪浪街道滨湖社区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江苏省无锡市滨湖区雪浪街道滨湖社区(变更为江苏省无锡市滨湖区雪浪街道雪浪街道方泉苑334号）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322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无锡市滨湖区雪浪街道吴塘社区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江苏省无锡市滨湖区雪浪街道吴塘社区否（(变更为江苏省无锡市滨湖区雪浪街道吴塘社区山庄里1号）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323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无锡市滨湖区雪浪街道南湖社区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江苏省无锡市滨湖区雪浪街道南湖社区</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lastRenderedPageBreak/>
              <w:t>324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无锡市滨湖区太湖街道和畅社区工作站</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无锡市滨湖区周新苑3期436号太湖街道融科玖玖世家二期89-2</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325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无锡市滨湖区太湖街道申新社区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江苏省无锡市滨湖区锡南路33号(变更为丰裕苑32-6）</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326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无锡市滨湖区太湖街道东绛社区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江苏省无锡市滨湖区周新中路7号东绛社区 (变更为周新西路一号）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327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无锡市滨湖区太湖街道糜巷桥社区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江苏省无锡市滨湖区糜巷桥家园27号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328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无锡市滨湖区太湖街道尚贤社区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江苏省无锡市滨湖区周新苑四期186号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329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无锡市滨湖区太湖街道梁南社区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江苏省无锡市滨湖区南湖家园54-4楼大通路289号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330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无锡市滨湖区太湖街道万科社区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江苏省无锡市滨湖区大通路万科城市二区123号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331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无锡市滨湖区太湖街道方庙社区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江苏省无锡市滨湖区方庙路20号(变更为方庙路50号）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332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无锡市滨湖区太湖街道周新社区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江苏省无锡市滨湖区周新苑437</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333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无锡市滨湖区太湖街道锡铁巷社区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江苏省无锡市滨湖区锡铁巷家园98号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334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无锡市滨湖区太湖街道蠡东社区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江苏省无锡市滨湖区太湖街道周新苑二期135-1(变更为江苏省无锡市经开区太湖街道太湖国际社区二街区79号）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335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无锡市滨湖区太湖街道利农社区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江苏省无锡市滨湖区太湖街道利农社区金城自行车厂内</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336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无锡市滨湖区太湖街道大桥社区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江苏省无锡市滨湖区太湖街道金石路98号(变更为金城湾路94#）</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337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无锡市滨湖区胡埭镇(劳动保障所)</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无锡市滨湖区胡埭镇娱乐城一楼</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338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无锡市滨湖区蠡园街道(劳动保障所)</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无锡市滨湖区建筑西路598号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339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无锡市滨湖区河埒街道(劳动保障所)</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无锡市滨湖区稻香新村15号、江海超市楼上</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340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无锡市滨湖区河埒街道稻香社区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江苏省无锡市滨湖区溪南新村168号（(变更为唐巷路88号）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341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无锡市滨湖区河埒街道孙蒋社区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江苏省无锡市滨湖区梁青路85号（变更为青祁路99号）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342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无锡市滨湖区河埒街道惠河社区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江苏省无锡市滨湖区谢巷128号（(变更为青祁路99号）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343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无锡市滨湖区河埒街道北桥社区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江苏省无锡市滨湖区稻香路15号江海超市四楼</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344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无锡市滨湖区河埒街道溪南社区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江苏省无锡市滨湖区河埒街道红山花园63号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lastRenderedPageBreak/>
              <w:t>345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无锡市滨湖区河埒街道蠡桥社区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 xml:space="preserve">江苏省无锡市滨湖区河埒街道梁荷路48号(变更为住友路1号 ） </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346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无锡市滨湖区华庄街道落霞苑一社区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江苏省无锡市滨湖区落霞苑高运路88</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347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无锡市滨湖区华庄街道落霞苑二社区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江苏省无锡市滨湖区落霞苑第二社区内（高运路）</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348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无锡市滨湖区华庄街道落霞苑三社区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江苏省无锡市滨湖区社区卫生中心旁（高运路）</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349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无锡市滨湖区华庄街道水乡苑一社区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江苏省无锡市滨湖区清源路与永信路交汇（北面）</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350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无锡市滨湖区华庄街道华庄社区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江苏省无锡市滨湖区万花路51号(变更为华庄街道华庄社区清源路(华庄第一过度房)）</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351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无锡市滨湖区华庄街道华新社区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江苏省无锡市滨湖区凯发苑二期门面东(变更为华庄街道凯发苑五期601-10-1）</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352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无锡市滨湖区华庄街道双茂社区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江苏省无锡市滨湖区振新路（具区路北面）</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353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无锡市滨湖区华庄街道周潭社区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江苏省无锡市滨湖区红周路130(变更为华庄街道周潭社区贡湖苑店面40-6）</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354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无锡市滨湖区华庄街道龙渚社区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江苏省无锡市滨湖区育才路71</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355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无锡市滨湖区华庄街道太湖社区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江苏省无锡市滨湖区华庄街道太湖社区(变更为华庄街道太湖佳园67号门三楼太湖社区）</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356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无锡市滨湖区华庄街道桑南社区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江苏省无锡市滨湖区华庄街道桑南社区(变更为华庄街道育才路71号）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357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无锡市滨湖区蠡湖街道(劳动保障所)</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无锡市滨湖区蠡湖人家2号、蠡湖隧道西侧</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358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无锡市滨湖区马山街道阖闾社区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江苏省无锡市滨湖区马山街道阖闾村南湾</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359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无锡市滨湖区荣巷街道(劳动保障所)</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无锡市滨湖区梁溪路118号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360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无锡市滨湖区荣巷街道荣巷社区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江苏省无锡市滨湖区公益路8号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361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无锡市滨湖区荣巷街道梅园社区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江苏省无锡市滨湖区徐巷军民路78-1号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362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无锡市滨湖区荣巷街道勤新社区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江苏省无锡市滨湖区钱姚路88号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363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无锡市滨湖区荣巷街道新峰社区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江苏省无锡市滨湖区梅园茶果场丁巷80号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364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无锡市滨湖区荣巷街道梁溪社区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无锡市梁溪区山北街道新惠家园155号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365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无锡市滨湖区荣巷街道青龙山社区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无锡市滨湖区荣巷街道青龙山路查巷1号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366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无锡市滨湖区蠡园街道湖滨苑社区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江苏省无锡市滨湖区独月路101号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lastRenderedPageBreak/>
              <w:t>367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原惠山办事处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观山路99号12号楼人社局窗口</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368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滨湖办事处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滨湖办事处</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369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南长办事处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南长办事处</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370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锡山办事处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马山圣园242号（中国银行内）</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371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市民中心大厅2</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惠山大道108号（国慧电子商务大厦东南角裙楼四楼）</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372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原锡山办事处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东亭镇二泉中路139号（锡山劳动局二楼）</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373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北塘办事处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凤宾路58号（北塘区人力资源市场）</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374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马山办事处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通扬南路280号（南长区行政服务中心）</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375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原滨湖办事处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梁清路718号（滨湖区人力资源市场二楼）</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376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原新区办事处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震泽路28号（新区科技交流中心）</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377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社保大厅3楼02</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江苏省无锡市崇安区广瑞路2号人力资源市场三楼</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378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文化宫</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文化宫</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379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无锡市滨湖区河埒街道</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无锡市滨湖区河埒街道（(变更为无锡市滨湖区万达小巷1号睦邻中心2楼）</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380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无锡市滨湖区劳动保障管理中心</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无锡市滨湖区劳动保障管理中心</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381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无锡市滨湖区劳动保障管理中心</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无锡市滨湖区劳动保障管理中心</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382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惠山区洛社镇</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江苏省无锡市惠山区洛社镇新兴东路（洛社人民法庭对面）</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383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惠山区玉祁街道</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江苏省无锡市惠山区玉祁街道文浩路公共汽车站旁</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384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滨湖区胡埭镇</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江苏省无锡市滨湖区胡埭镇娱乐城一楼</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385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无锡太湖学院</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江苏省无锡市钱荣路68号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386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惠山区劳动就业管理中心</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惠山区惠山大道108号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387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锡山区云林街道</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锡山区春雷路10号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388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无锡市人力资源市场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无锡市广瑞路2号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389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锡山区劳动就业管理中心</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锡山区东亭街道二泉中路139号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390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新吴区梅村街道</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江苏无锡市新吴区梅村街道工业集中区一楼服务中心</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391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无锡市人力资源市场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无锡市广瑞路2号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392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锡山区东亭街道</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锡山区东亭街道锡沪东路58号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393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锡山区羊尖镇</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江苏省无锡市锡山区羊尖镇锡沪西路76号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394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无锡商业职业技术学院</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江苏省无锡市钱胡公路809号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395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惠山区阳山镇</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江苏省无锡市惠山区阳山镇行政服务中心内</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396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惠山区前洲街道</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江苏省无锡市惠山区桃源路1号（新洲家园南）(变更为前洲街道桃源路1号）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397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惠山区长安街道</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江苏省无锡市惠山区惠山经济开发区堰新路318号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398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惠山区钱桥街道</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江苏省无锡市惠山区钱桥街道钱桥大街141号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lastRenderedPageBreak/>
              <w:t>399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无锡城市职业技术学院</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江苏省无锡市惠山区钱藕路12号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400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锡山区鹅湖镇</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江苏省无锡市锡山区鹅湖镇鹅湖路8号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401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锡山区东北塘街道</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锡山区承塘路18号行政服务中心1楼大厅（变更为无锡市锡山区东北塘街道行政服务中心）</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402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锡山区劳动就业管理中心</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锡山区东亭街道二泉中路139号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403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无锡市人力资源市场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无锡市广瑞路2号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404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新吴区旺庄街道</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江苏无锡市新吴区机场路111号机场路高架下面春潮园大门对面(变更为新吴区旺街道机场路111号）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405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无锡市人力资源市场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无锡市广瑞路2号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406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锡山区东港镇</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锡山区东港镇东湖塘新湖苑睦邻中心(变更为无锡市锡山区东港镇东湖塘睦邻中心）</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407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梁溪区广益街道</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江苏无锡市梁溪区广益街道广益路188号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408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江苏信息职业技术学院</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江苏省无锡市惠山区钱藕路1号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409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滨湖区马山街道</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江苏省无锡市滨湖区梅梁路16号（度假区管委会内）</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410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锡山区安镇街道</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江苏省无锡市锡山区安镇街道东兴路（高铁商务区对面）（变更为无锡市锡山区安镇街道东兴路198-3号）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411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惠山区堰桥街道</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江苏省无锡市惠山区堰桥街道堰玉路4号(变更为无锡市惠山区堰桥堰裕路1005号）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412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江南影视艺术职业学院</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江苏省无锡市惠山区藕塘职教园钱藕路2号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413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惠山区劳动就业管理中心</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惠山区惠山大道108号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414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锡山区锡北镇</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锡山区锡北镇泾声路8号（顾宪成纪念馆内）(变更为江苏省无锡市锡山区锡北镇泾声路8号（顾宪成纪念馆内））</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415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无锡市人力资源市场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无锡市广瑞路2号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416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滨湖区蠡湖街道</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江苏无锡市蠡湖大道168号蠡湖大厦1-3</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417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梁溪区山北街道</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惠龙新村41-1号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418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新吴区劳动保障管理中心</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江苏无锡市新吴区菱湖大道200号微纳园A栋</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419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梁溪区劳动保障管理中心</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人民东路307号(变更为清名路380号）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420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梁溪区劳动保障管理中心</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人民东路307号(变更为清名路380号）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421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新吴区鸿山街道</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江苏省无锡市新吴区鸿山街道鸿山镇后宅园一区</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422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滨湖区马山街道人力资源市场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江苏省无锡市滨湖区无锡市滨湖区马山街道梅梁路21号(变更为马山街道梅梁路21号度假区人力资源服务中心）</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423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锡山区厚桥街道</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江苏省无锡市锡山区厚桥街道厚嵩东路86号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lastRenderedPageBreak/>
              <w:t>424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梁溪区惠山街道</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惠麓东苑8号(变更为无锡市梁溪区惠麓东苑8号）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425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滨湖区蠡园街道</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江苏无锡市滨湖区蠡园街道滴翠路99号（蠡园街道便民服务中心）(变更为马山街道梅梁路21号度假区人力资源服务中心）</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426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梁溪区黄巷街道</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凤翔北路9号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427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梁溪区北大街街道</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北塘大街188号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428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无锡市蠡园开发区高层次分中心</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江苏无锡市滨湖区蠡园街道滴翠路99号（蠡园街道便民服务中心）(变更为无锡市滨湖区滴翠路99号)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429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梁溪区通江街道</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工艺桥路1号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430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梁溪区崇安寺街道</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解放西路369号三楼</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431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滨湖区华庄街道</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江苏无锡市军民路71号（镇文化宫旁）(变更为华庄街道军民路71号（老镇政府内））</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432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梁溪区广瑞路街道</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广丰三村114号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433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新吴区江溪街道</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江苏无锡市新吴区叙丰家园290号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434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无锡科技职业学院</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新吴区新锡路8号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435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无锡职业技术学院</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高浪西路1600号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436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滨湖区荣巷街道</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江苏无锡市滨湖区荣巷街道梁溪路888号(变更为梁溪路888号）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437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梁溪区金匮街道</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江苏无锡市梁溪区金匮街道五星家园258号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438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梁溪区金星街道</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江苏无锡市梁溪区金星街道芦庄五区93号-1</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439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梁溪区迎龙桥街道</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江苏无锡市梁溪区红星路8号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440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梁溪区南禅寺街道</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江苏无锡市梁溪区虹桥下73号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441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梁溪区清名桥街道</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江苏无锡市梁溪区清扬新村54号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442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江南大学</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蠡湖大道1800号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443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滨湖区雪浪街道</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仙河苑二期南大门口(变更为江苏省无锡市滨湖区雪浪街道仙河苑二期南门门口）</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444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雪浪街道（原滨湖街道）</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方泉苑二期东门（雪浪街道便民服务中心）(变更为江苏省无锡市滨湖区雪浪街道方泉苑333号）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445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滨湖区太湖街道</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太湖街道行政服务中心（周新苑三期436号）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446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梁溪区扬名街道</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南湖大道588-1号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447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梁溪区上马墩街道</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江苏无锡市梁溪区上马墩路152号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448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新吴区新安街道</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江苏无锡市新吴区新安振新路29号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449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新吴区硕放街道</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江苏无锡市新吴区新区硕放睦邻中心二楼薛典路旁</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450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梁溪区江海街道</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江苏无锡市梁溪区学前东路789号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451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新吴区劳动保障管理中心</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江苏无锡市新吴区菱湖大道200号微纳园A栋(变更菱湖大道200号A幢一楼）</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452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无锡南洋职业技术学院</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滨湖区山水西路99号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453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无锡开放大学</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广瑞路390号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454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社保大厅3楼</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江苏省无锡市崇安区广瑞路2号人力资源市场三楼</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455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无锡新区旺庄街道</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无锡新区旺庄街道</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456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风雷社区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风雷新村92号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457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金海里社区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金海里85-1</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lastRenderedPageBreak/>
              <w:t>458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扬名街道滨河社区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孔雀雅园一期商铺3-23号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459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阳光社区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阳光城市花园A区19号二楼</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460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中南社区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中桥三村45号-1</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461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清名桥街道人社所</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无锡市梁溪区清扬新村54号（街道行政服务中心）</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462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清名桥街道清二社区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 xml:space="preserve">江苏省无锡市梁溪区清扬新村117号 </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463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清名桥街道大窑社区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江苏省无锡市梁溪区大窑路119-4</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464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金和社区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东方水榭14单元</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465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毛湾一社区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毛湾家园E区13号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466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银仁社区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银仁御墅128号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467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汤巷社区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无锡市梁溪区崇安寺街道解放新村28号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468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连元街社区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江苏省无锡市崇安区大成巷35号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469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金马社区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金马小区36号负一楼</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470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盛岸二村社区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盛岸二村重阳楼106号二楼</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471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棉花巷社区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棉花巷119-101</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472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五里新村社区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五里新村24-1</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473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惠畅里社区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惠畅里53-54号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474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盛岸一村社区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盛岸一村66号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475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惠泉山社区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惠钱路18-9号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476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兴隆桥社区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香榭花园3号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477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新惠路社区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惠山雅苑40号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478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蓉湖社区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蓉湖新村23-1</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479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黄巷街道行政审批局</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刘潭任钱路115号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480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梁溪区一站式服务中心</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崇文大厦2楼</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481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无锡市新吴区鸿山街道大坊桥村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江苏省无锡市新吴区鸿山街道大坊桥居民委员会</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482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鸿运苑第二社区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江苏省无锡市新吴区鸿山街道鸿运苑六一期460号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483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人社所</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为民服务中心一楼</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484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香梅三社区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清风华景门面房8-40</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485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新安花苑第五社区筹建组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新安花苑五区30号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486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新安街道观湖社区筹建组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新安街道观湖社区党群服务中心（耘林苑2号）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487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东港镇陈市村民委员会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东港镇陈市村</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488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东港镇港下社区居民委员会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江东港镇香山路</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489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东港镇港南村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羊路旁（原三育小学内）</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490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鹅湖镇群联村委</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甘西路群联村委</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491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新农丰社区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长泰国际社区先锋西路32-12</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492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芙蓉村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锡港路888号（芙蓉村委）</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493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堰新社区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无锡市惠山区长安街道堰新西路200号睦邻中心4楼</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lastRenderedPageBreak/>
              <w:t>494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长乐社区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无锡市惠山区长安街道中惠路480号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495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惠城社区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无锡市惠山区堰桥政和大道198-2（社区二楼）</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496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无锡市惠山区玉祁街道玉西社区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江苏省无锡市惠山区玉祁街道玉西社区</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497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无锡市惠山区玉祁街道礼舍村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江苏省无锡市惠山区玉祁街道礼舍村</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498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无锡市惠山区玉祁街道南联村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江苏省无锡市惠山区玉祁街道南联村</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499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无锡市惠山区玉祁街道曙光村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江苏省无锡市惠山区玉祁街道曙光村（报废）</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500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无锡市惠山区玉祁街道平湖社区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江苏省无锡市惠山区玉祁街道润秀苑AB区中间</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501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无锡市惠山区玉祁街道五牧村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江苏省无锡市惠山区玉祁街道五牧村（报废）</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502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无锡市惠山区玉祁人社所</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江苏省无锡市惠山区玉祁街道玉祁文浩路2号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503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无锡市惠山区玉祁街道玉蓉村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江苏省无锡市惠山区玉祁街道玉蓉村（报废）</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504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无锡市惠山区阳山镇高潮村民委员会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无锡市惠山区阳山镇高潮村民委员会</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505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无锡市惠山区阳山镇光明村民委员会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无锡市惠山区阳山镇光明村民委员会</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506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无锡市惠山区阳山镇陆区社区居民委员会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无锡市惠山区阳山镇陆区社区居民委员会</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507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无锡市惠山区堰桥街道牌楼社区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江苏省无锡市惠山区牌楼西路32号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508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前洲街道柘塘浜社区居民委员会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前洲街道柘塘浜村刘家巷1号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509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前洲街道惠丰社区居民委员会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前洲街道惠丰社区居民委员会</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510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前洲社区居民委员会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前洲街道樱花路1号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511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前洲街道友联村村民委员会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前洲街道友联村村委</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512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前洲街道铁路桥村村民委员会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前洲街道铁路桥村</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513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前洲街道北幢村村委会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前洲街道石洲路北幢村委会</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514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前洲街道杨家圩村村民委员会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前洲街道杨家圩村中南路</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515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前洲街道北七房村村民委员会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前洲街道北洲路北七房村委会</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516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前洲街道塘村村民委员会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前洲街道中兴中路塘村村委</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517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万马村村民委员会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洛社镇洛玉路旁</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lastRenderedPageBreak/>
              <w:t>518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陡门村村民委员会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洛社镇陡门幼儿园东200米</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519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保健村村民委员会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洛社镇杨西北路42号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520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雅西社区居民委员会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洛社镇盛巷安置小区49号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521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杨西园村村民委员会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洛社镇石塘湾杨西园村委</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522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新开河村村民委员会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312国道旁好宜购家具卖场向南50米</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523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花苑村村民委员会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洛社镇花苑村民委员会</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524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石塘湾社区居民委员会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石塘湾社区育才路2号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525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五秦村村民委员会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广石路2号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526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徐贵桥社区居民委员会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洛社镇新兴一村徐贵桥社区</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527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绿化村村民委员会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洛社镇绿化村民委员会</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528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夏家边社区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滨湖区老湖滨路298号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529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蠡园社区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蠡湖人家50号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530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震泽社区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东顾巷家园C区38-1号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531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景丽东苑社区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无锡市滨湖区蠡湖街道中南西路景丽东苑12号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532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美湖社区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蠡湖家园36号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533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中南社区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隐秀路150号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534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蠡湖社区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天竺东苑5号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535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双虹社区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蠡湖一号二期丽苑100号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536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山明社区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山明四村震美路113号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537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蠡溪社区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中南西路397号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538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立人社区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立人二区49号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539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花汇苑社区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花汇苑三区109号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540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富润社区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富润一区东门52号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541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张舍村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张舍苑一区张舍社区服务中心</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542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胡埭村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胡埭镇振胡路13号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543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鸿翔村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鸿翔路26号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544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龙延村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钱胡路1538号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545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富安村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富安花园A区51号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546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马鞍村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马鞍苑一区62号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547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夏渎村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夏渎村石漕头1号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548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古竹社区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古竹172号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549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乐山社区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江苏省无锡市滨湖区马山湖山路33-1号（乐山居委会）</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550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群丰社区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群丰新城188号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551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无锡市滨湖区马山街道西村社区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江苏省无锡市滨湖区马山西村社区中段76号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552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迎晖社区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迎晖新村32号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553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马山街道嶂青社区居民委员</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嶂青社区388号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554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峰影社区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峰影苑17号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555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耿湾社区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耿湾社区服务中心履丰苑39-8</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lastRenderedPageBreak/>
              <w:t>556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和平社区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无锡市滨湖区马山和平雁门1号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557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栖云社区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马山栖云苑544号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558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葛埭社区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葛埭社区居民委员会</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559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南泉社区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雪浪街道南泉派出所旁</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560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长广社区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雪浪街道山水东路路耿下62号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561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西林社区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雪浪街道山水东路820号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562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板桥社区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雪浪街道仙河苑三期544-2</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563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贡湖社区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雪浪街道贡湖社区长泰路以东</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564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望溪社区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雪溪苑B区8号门</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565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龙山社区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龙山路38号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566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太康社区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蓓蕾新村21号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567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产山社区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紫金英郡15号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568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河埒社区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阳光嘉园15号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569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湖景社区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无锡市滨湖区蠡园街道独月路101号湖景社区4楼</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570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环湖社区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环湖苑88号环湖社区党群服务中心</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571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隐秀苑社区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隐秀苑55号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572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西园社区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西园里393号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573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大箕山社区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大箕路1号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574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渔港社区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滨湖区渔港家园78-6</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575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华庄街道水乡苑二社区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江苏省无锡市经开区华庄街道清源路与永信路交汇（南面）</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576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经开区华庄街道万欣社区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江苏省无锡市经开区华庄街道观山路183-2</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577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 xml:space="preserve">太湖街道南桥社区 </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江苏省无锡市经开区山水湖滨二期385-1</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578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江苏无锡经济开发区社会事业局</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万新路与南湖大道交界处</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579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江苏省无锡经开区管理委员会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 xml:space="preserve">江苏省无锡市苏宁悦城悦园C区清舒道77号经开区政务服务中心 </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580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局法规处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市民中心12号楼服务大厅</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581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无锡梁溪区江南古运河旅游度假区管理办公室</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江苏无锡市梁溪区南长街526—1号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582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无锡梁溪区山北街道办事处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无锡市梁溪区山北街道办事处惠龙新村41号-1</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583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无锡梁溪区山北街道办事处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山北街道惠景社区惠景家园40号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584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无锡梁溪区山北街道办事处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山北街道惠麓社区惠麓苑77-5</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585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无锡市梁溪区北大街街道社会工作者服务中心</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无锡市北塘大街188号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586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无锡市梁溪区崇安寺街道办事处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无锡市解放西路369号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lastRenderedPageBreak/>
              <w:t>587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无锡市梁溪区崇安寺街道办事处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无锡市中山路537号红豆万花城旁</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588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无锡市梁溪区崇安寺街道办事处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无锡市梁溪区前西溪4号后西溪社区</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589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无锡市梁溪区崇安寺街道办事处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等待客户确认后提供</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590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无锡市梁溪区黄巷街道办事处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无锡市梁溪区黄巷街道任钱路 115号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591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无锡市梁溪区瞻江街道办事处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瞻江街道临时便民服务中心</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592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安镇街道胶山村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安镇街道润和里27号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593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安镇街道安西村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安镇水岸街59号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594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安镇街道白丹山村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查桥山韵街452号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595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安镇街道润安社区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安镇丹山路159号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596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安镇街道先锋村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查桥山韵街407号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597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东北塘锦旺新村社区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锡山区东北塘街道锦旺路58号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598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东北塘兴塘社区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东北塘街道春塘路支路玖御半岛南门对面50米</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599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东北塘严埭社区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东北塘街道通江南路与通江大道交叉口西150米</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600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东北塘正阳村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锡山区东北塘街道东政路鑫满园楼上3楼</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601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东北塘顺塘社区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锡山区东北塘街道承塘路101-53号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602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东北塘大马巷村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锡山区东北塘街道石新路888号五洋陶瓷院内4楼</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603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东北塘梓旺新村社区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锡山区东北塘街道东政路5号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604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春塘社区（梓旺村）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锡山区东北塘街道茅梓桥</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605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东北塘社区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锡山区东北塘街道承塘路60号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606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东北塘锦阳村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锡山区东北塘街道锡港路西段181号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607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东北塘锡通社区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锡山区东北塘街道中元路19-28</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608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东北塘农坝村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锡山区东北塘街道农新路199号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609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东北塘裕蓉社区(裕巷村)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锡山区东北塘街道梓旺苑110号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610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无锡市锡山区东港镇人民政府</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无锡市锡山区东港镇新湖东苑87号（东港行政审批局）</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611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无锡市锡山区东港镇人民政府</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无锡市锡山区东港镇新湖东苑87号（东港行政审批局）</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612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无锡市锡山区东港镇人民政府</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无锡市锡山区东港镇锡港路东湖塘西段22号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613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无锡市锡山区东港镇人民政府</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 xml:space="preserve"> 无锡市锡山区东港镇东湖塘西大桥北桥堍1号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614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无锡市锡山区东港镇人民政府</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无锡市锡山区东港镇东南村陆家弄路</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615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无锡市锡山区东港镇人民政府</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无锡市锡山区东港镇港东村鲁家塘旁</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616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无锡市锡山区东港镇人民政府</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无锡市锡山区东港镇港陈路旁</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lastRenderedPageBreak/>
              <w:t>617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无锡市锡山区东港镇人民政府</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无锡市锡山区东港镇东廊路与仓埔泾路交叉口西北100米</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618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无锡市锡山区东港镇人民政府</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江苏省无锡市锡山区东港镇黄土塘小学旁</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619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无锡市锡山区东港镇人民政府</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无锡市锡山区东港镇蠡漍农贸市场旁</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620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无锡市锡山区东港镇人民政府</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无锡市锡山区东港镇陈戴路1号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621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无锡市锡山区东港镇人民政府</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江苏省无锡市锡山区东港镇山联村中山</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622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无锡市锡山区东港镇人民政府</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无锡市锡山区东港镇健康路港羊路交叉路口</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623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无锡市锡山区东港镇人民政府</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无锡市锡山区东港镇东湖塘锡港西路37号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624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无锡市锡山区东港镇人民政府</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无锡市锡山区东港镇张缪舍村港陈路延伸段</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625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柏庄社区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无锡市锡山区东亭街道柏木南苑16-1</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626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柏庄一村社区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无锡市锡山区东亭街道柏庄一村43号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627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春合社区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无锡市锡山区东亭街道蓝光五彩华庭商铺1-28</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628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春江花园社区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无锡市锡山区东亭街道春江花园三期348号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629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华亭社区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无锡市锡山区东亭街道隽府园59栋</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630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桑达园社区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无锡市锡山区东亭街道桑达园24号楼</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631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新屯社区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无锡市锡山区东亭街道通云路3号竹苑新村内</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632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北街社区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无锡市锡山区东亭街道东亭镇学士路72号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633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无锡市锡山区鹅湖镇行政审批局业务一科</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无锡市锡山区鹅湖镇尚书苑52号一楼</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634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无锡市锡山区鹅湖镇青虹路社区居民委员会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无锡市锡山区鹅湖镇青虹路13号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635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无锡市锡山区鹅湖镇圩厍村党群服务中心</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无锡市锡山区鹅湖镇圩厍村常锡路1号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636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无锡市锡山区鹅湖镇人民路社区党群服务中心</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无锡市锡山区鹅湖镇人民路19号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637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无锡市锡山区鹅湖镇圆通村党群服务中心</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无锡市锡山区鹅湖镇荡厚路与村北线交叉口（原南联厂房）</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638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无锡市锡山区鹅湖镇甘露社区居民委员会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无锡市锡山区鹅湖镇锡甘路5号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639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无锡市锡山区鹅湖镇鹅湖村党群服务中心</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无锡市锡山区鹅湖镇新梁路99号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640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无锡市锡山区鹅湖镇新桥村村民委员会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无锡市锡山区鹅湖镇尚书苑52号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641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无锡市锡山区鹅湖镇青荡村党群服务中心</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无锡市锡山区鹅湖镇青虹路华夏园公交站西北150米</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lastRenderedPageBreak/>
              <w:t>642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无锡市锡山区鹅湖镇松芝村村民委员会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无锡市锡山区鹅湖镇甘露大桥下</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643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无锡市锡山区鹅湖镇彩桥村党群服务中心</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无锡市锡山区鹅湖镇原燕水庄村委</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644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无锡市锡山区鹅湖镇三新村党群服务中心</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无锡市锡山区鹅湖镇延祥路73号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645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无锡市锡山区厚桥街道年余村村民委员会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锡山区宛山湖西路大诚苑东区西北侧40米</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646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无锡市锡山区厚桥街道南桥头村村民委员会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锡山区商盛路与胶山路交叉口西北100米</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647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无锡市锡山区厚桥街道嵩山村村民委员会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锡山区厚嵩路</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648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无锡市锡山区厚桥街道新联村村民委员会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锡山大道558号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649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无锡市锡山区厚桥街道中东村村民委员会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锡山区中联路与外围路交叉口东100米</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650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无锡市锡山区厚桥街道新厚桥村村民委员会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锡山区厚桥中心路93号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651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无锡市锡山区厚桥街道谢埭荡村村民委员会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锡山区甘厚路</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652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无锡市锡山区厚桥街道厚桥社区居民委员会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锡山区厚嵩东路86号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653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无锡市锡山区厚桥街道太芙村村民委员会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锡山区宛山湖西路大诚苑东区西北侧40米</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654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无锡市锡山区锡北镇八士村村民委员会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无锡市锡山区锡北镇八士村金桥工业园</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655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无锡市锡山区锡北镇周家阁村村民委员会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无锡市锡山区锡北镇周家阁村后塘路8号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656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无锡市锡山区锡北镇泾西村村民委员会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无锡市锡山区锡北镇花园浜路1号  泾西村村民委员会</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657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无锡市锡山区锡北镇泉山花苑社区居民委员会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无锡市锡山区锡北泉山花苑社区党群服务中心</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658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羊尖镇社区居民委员会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锡山区羊尖镇羊尖大街100号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659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羊尖镇羊尖村民委员会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羊尖镇通羊路旁</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660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羊尖镇南村村民委员会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羊尖镇南村村南盛路30号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lastRenderedPageBreak/>
              <w:t>661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羊尖镇宛山村民委员会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江苏省无锡市锡山区羊尖镇宛山村锡宛路9号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662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羊尖镇廊下村民委员会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无锡市锡山区羊尖镇东廊路92号（廊下小学对面）</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663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羊尖镇南丰村民委员会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锡虞路与羊高路交叉口北200米</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664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羊尖镇严家桥村民委员会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无锡市锡山区东鹅线与青年路交叉路口往南约130米</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665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羊尖镇丽安村民委员会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羊福路与安羊路交界处</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666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羊尖镇龙凤巷村民委员会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龙凤巷村民委员会</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667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无锡市惠山区长安街道惠南社区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无锡市惠山区长安街道惠山区华惠路119号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668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无锡市惠山区长安街道姑里社区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惠山区长安街道东红桥南堍姑里社区居民委员会</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669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无锡市惠山区长安街道长安社区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无锡市惠山区长安街道长安社区石新路1号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670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无锡市惠山区长安街道长宁社区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无锡市惠山区长安街道长宁苑208号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671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无锡市惠山区长安街道长馨社区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无锡市惠山区长安街道迎新路55号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672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无锡惠山区钱桥街道钱桥社区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惠山区钱桥街道钱桥社区玉泉街8号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673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无锡市惠山区堰桥街道堰北社区居民委员会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无锡市惠山区堰桥街道堰北社区丁塔</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674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无锡市惠山区堰桥街道天丰社区居民委员会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无锡市惠山大道108号国慧商务大厦A栋802</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675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无锡市惠山区堰桥街道刘仓社区居民委员会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无锡市惠山区堰桥街道堰新苑四期996-3 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676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无锡市惠山区洛社镇杨市社区居委会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无锡市惠山区洛社镇杨市人民东路8 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677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无锡市惠山区洛社镇润杨村村民委员会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无锡市惠山区洛社镇杨市环镇南路 1号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678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无锡市滨湖区人力资源和社会保障局</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江苏省无锡市滨湖区梁清路718滨湖人力资源中心</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679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无锡市滨湖区人力资源和社会保障局</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江苏省无锡市滨湖区梁清路718滨湖人力资源中心</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680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无锡市梁溪区扬名街道办事处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芦村党群服务站南湖大道299-5</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lastRenderedPageBreak/>
              <w:t>681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无锡市梁溪区扬名街道办事处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无锡市梁溪区南湖大道503号6号楼</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682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无锡市滨湖区河埒街道水秀社区工作站</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无锡市滨湖区水秀新村 161 号水秀社区</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683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无锡市新吴区人民政府江溪街道办事处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无锡市工业博览园投资发展有限公司（金城东路333号-1一楼）</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684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无锡市新吴区人民政府江溪街道办事处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无锡市新吴区江溪街道万裕苑一期190号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685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无锡市新吴区人民政府江溪街道办事处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无锡市新吴区江溪街道长江国际泓园58-2号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686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无锡市新吴区人民政府江溪街道办事处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无锡市新吴区江溪街道太湖花园第二社区长江北路78号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687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无锡市滨湖区河埒街道协民社区</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无锡市湖滨路3 号协民社区服务大厅</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688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 xml:space="preserve">江苏无锡空港经济开发区（无锡市新吴区硕放街道）行政审批局  </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无锡新吴区硕放街道为民服务中心大厅</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689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 xml:space="preserve">江苏无锡空港经济开发区（无锡市新吴区硕放街道）行政审批局  </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无锡新吴区硕放街道香楠佳苑社区居委会7号门社区大厅</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690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无锡恒廷实业有限公司</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无锡市锡山区安镇街道先锋东路和吼山南路交汇处工地（华夏天一双语学校马路对面）</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691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无锡市惠山区钱桥街道办事处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无锡市新吴区江溪街道万裕苑一期190号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692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无锡梁溪区山北街道办事处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山北街道宪丰社区小天鹅南苑2号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693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无锡梁溪区山北街道办事处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山北街道双河村社区石门路11号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694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无锡梁溪区山北街道办事处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山北街道星惠社区江海西路与钱皋路交叉口向西150米</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695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无锡梁溪区山北街道办事处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山北街道会北社区皋桥路10-3</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696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无锡梁溪区山北街道办事处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山北街道会西社区新惠家园155号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697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无锡梁溪区山北街道办事处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山北街道惠峰社区惠峰新村127号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698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无锡梁溪区山北街道办事处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山北街道惠华社区惠华新村135号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699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无锡梁溪区山北街道办事处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山北街道双河社区双河新村63号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700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无锡梁溪区山北街道办事处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山北街道仁和社区城西花园28-1号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lastRenderedPageBreak/>
              <w:t>701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无锡梁溪区山北街道办事处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山北街道龙西社区惠龙新村300-1号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702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无锡梁溪区山北街道办事处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山北街道二泉社区二泉花园31号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703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无锡梁溪区山北街道办事处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山北街道惠泉社区惠泉花园民干路143号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704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无锡梁溪区山北街道办事处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山北街道惠龙社区惠龙新村144号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705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无锡市惠山区长安街道办事处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无锡市惠山区堰新路318号5楼519</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706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无锡市惠山区阳山镇住基村民委员会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无锡市惠山区阳山镇住基村民委员会</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707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无锡市惠山区阳山镇尹城村民委员会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无锡市惠山区阳山镇尹城村民委员会</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708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无锡市惠山区阳山镇新渎社区居民委员会</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无锡市惠山区阳山镇新渎社区居民委员会</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709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无锡市梁溪区清名桥街道办事处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沁园第二社区沁园新村476号2楼</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710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无锡市梁溪区清名桥街道办事处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南扬社区清名二村9号旁</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711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无锡市梁溪区清名桥街道办事处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风光里社区风光里21号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712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无锡市梁溪区清名桥街道办事处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家乐花园社区大庄里534号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713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无锡市梁溪区黄巷街道办事处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黄巷街道五河社区</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714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无锡市梁溪区黄巷街道办事处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黄巷街道龙一社区</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715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无锡市梁溪区惠山街道办事处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惠山街道曹一社区曹张新村355-1</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716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无锡市梁溪区惠山街道办事处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惠山街道曹二社区曹张新村75-1号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717</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无锡市梁溪区惠山街道办事处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惠山街道曹三社区曹张新村559号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718</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无锡市梁溪区惠山街道办事处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惠山街道西水东城社区西水东城58-1号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719</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无锡市梁溪区惠山街道办事处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惠山街道纳新桥社区红星路8-3号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720</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无锡市梁溪区惠山街道办事处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惠山街道锡山新村社区五爱人家1-24号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721</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无锡市梁溪区惠山街道办事处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惠山街道水车湾社区水车湾小区29号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722</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无锡市梁溪区惠山街道办事处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惠山街道湖滨社区建筑新村15-1</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lastRenderedPageBreak/>
              <w:t>723</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无锡市梁溪区惠山街道办事处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惠山街道迎滨社区锡山新村132号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724</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无锡市梁溪区扬名街道办事处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无锡市梁溪区扬名街道翠园新村71号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725</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无锡市梁溪区扬名街道办事处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无锡市梁溪区扬名街道金城新村92号</w:t>
            </w:r>
          </w:p>
        </w:tc>
      </w:tr>
      <w:tr>
        <w:trPr>
          <w:cantSplit/>
          <w:trHeight w:val="20"/>
        </w:trPr>
        <w:tc>
          <w:tcPr>
            <w:tcW w:w="817"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726</w:t>
            </w:r>
          </w:p>
        </w:tc>
        <w:tc>
          <w:tcPr>
            <w:tcW w:w="2439"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无锡市梁溪区扬名街道办事处</w:t>
            </w:r>
          </w:p>
        </w:tc>
        <w:tc>
          <w:tcPr>
            <w:tcW w:w="562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hAnsi="宋体" w:cs="宋体"/>
                <w:kern w:val="0"/>
                <w:sz w:val="24"/>
                <w:szCs w:val="24"/>
              </w:rPr>
            </w:pPr>
            <w:r>
              <w:rPr>
                <w:rFonts w:ascii="宋体" w:hAnsi="宋体" w:cs="宋体" w:hint="eastAsia"/>
                <w:kern w:val="0"/>
                <w:sz w:val="24"/>
                <w:szCs w:val="24"/>
              </w:rPr>
              <w:t>无锡市梁溪区扬名街道中联新村134号</w:t>
            </w:r>
          </w:p>
        </w:tc>
      </w:tr>
    </w:tbl>
    <w:p>
      <w:pPr>
        <w:tabs>
          <w:tab w:val="left" w:pos="992"/>
        </w:tabs>
        <w:spacing w:line="360" w:lineRule="auto"/>
        <w:rPr>
          <w:rFonts w:ascii="宋体" w:hAnsi="宋体"/>
          <w:sz w:val="24"/>
          <w:szCs w:val="24"/>
        </w:rPr>
      </w:pPr>
    </w:p>
    <w:p>
      <w:pPr>
        <w:numPr>
          <w:ilvl w:val="2"/>
          <w:numId w:val="1"/>
        </w:numPr>
        <w:tabs>
          <w:tab w:val="clear" w:pos="1571"/>
          <w:tab w:val="left" w:pos="992"/>
        </w:tabs>
        <w:spacing w:line="360" w:lineRule="auto"/>
        <w:rPr>
          <w:rFonts w:ascii="宋体" w:hAnsi="宋体"/>
          <w:sz w:val="24"/>
          <w:szCs w:val="24"/>
        </w:rPr>
      </w:pPr>
      <w:r>
        <w:rPr>
          <w:rFonts w:ascii="宋体" w:hAnsi="宋体" w:hint="eastAsia"/>
          <w:sz w:val="24"/>
          <w:szCs w:val="24"/>
        </w:rPr>
        <w:t>无锡人社自助服务一体机需要维保的应用软件功能详见下表：</w:t>
      </w:r>
    </w:p>
    <w:tbl>
      <w:tblPr>
        <w:tblW w:w="8435" w:type="dxa"/>
        <w:tblInd w:w="99" w:type="dxa"/>
        <w:tblLook w:val="04A0" w:firstRow="1" w:lastRow="0" w:firstColumn="1" w:lastColumn="0" w:noHBand="0" w:noVBand="1"/>
      </w:tblPr>
      <w:tblGrid>
        <w:gridCol w:w="2664"/>
        <w:gridCol w:w="2455"/>
        <w:gridCol w:w="3316"/>
      </w:tblGrid>
      <w:tr>
        <w:trPr>
          <w:trHeight w:val="290"/>
        </w:trPr>
        <w:tc>
          <w:tcPr>
            <w:tcW w:w="266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hAnsi="宋体" w:cs="宋体"/>
                <w:b/>
                <w:bCs/>
                <w:color w:val="000000"/>
                <w:kern w:val="0"/>
                <w:sz w:val="24"/>
                <w:szCs w:val="24"/>
              </w:rPr>
            </w:pPr>
            <w:r>
              <w:rPr>
                <w:rFonts w:ascii="宋体" w:hAnsi="宋体" w:cs="宋体" w:hint="eastAsia"/>
                <w:b/>
                <w:bCs/>
                <w:color w:val="000000"/>
                <w:kern w:val="0"/>
                <w:sz w:val="24"/>
                <w:szCs w:val="24"/>
              </w:rPr>
              <w:t>服务组</w:t>
            </w:r>
          </w:p>
        </w:tc>
        <w:tc>
          <w:tcPr>
            <w:tcW w:w="245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hAnsi="宋体" w:cs="宋体"/>
                <w:b/>
                <w:bCs/>
                <w:color w:val="000000"/>
                <w:kern w:val="0"/>
                <w:sz w:val="24"/>
                <w:szCs w:val="24"/>
              </w:rPr>
            </w:pPr>
            <w:r>
              <w:rPr>
                <w:rFonts w:ascii="宋体" w:hAnsi="宋体" w:cs="宋体" w:hint="eastAsia"/>
                <w:b/>
                <w:bCs/>
                <w:color w:val="000000"/>
                <w:kern w:val="0"/>
                <w:sz w:val="24"/>
                <w:szCs w:val="24"/>
              </w:rPr>
              <w:t>服务项</w:t>
            </w:r>
          </w:p>
        </w:tc>
        <w:tc>
          <w:tcPr>
            <w:tcW w:w="331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b/>
                <w:bCs/>
                <w:sz w:val="24"/>
                <w:szCs w:val="24"/>
              </w:rPr>
            </w:pPr>
            <w:r>
              <w:rPr>
                <w:rFonts w:ascii="宋体" w:hAnsi="宋体" w:cs="宋体" w:hint="eastAsia"/>
                <w:b/>
                <w:bCs/>
                <w:color w:val="000000"/>
                <w:kern w:val="0"/>
                <w:sz w:val="24"/>
                <w:szCs w:val="24"/>
              </w:rPr>
              <w:t>子服务项</w:t>
            </w:r>
          </w:p>
        </w:tc>
      </w:tr>
      <w:tr>
        <w:trPr>
          <w:trHeight w:val="290"/>
        </w:trPr>
        <w:tc>
          <w:tcPr>
            <w:tcW w:w="2664" w:type="dxa"/>
            <w:vMerge w:val="restart"/>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就业服务</w:t>
            </w:r>
          </w:p>
        </w:tc>
        <w:tc>
          <w:tcPr>
            <w:tcW w:w="2456" w:type="dxa"/>
            <w:vMerge w:val="restart"/>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就业援助状况</w:t>
            </w:r>
          </w:p>
        </w:tc>
        <w:tc>
          <w:tcPr>
            <w:tcW w:w="331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就业困难人员认定信息</w:t>
            </w:r>
          </w:p>
        </w:tc>
      </w:tr>
      <w:tr>
        <w:trPr>
          <w:trHeight w:val="290"/>
        </w:trPr>
        <w:tc>
          <w:tcPr>
            <w:tcW w:w="2664"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2456"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331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享受社保及公益性岗位补贴信息查询</w:t>
            </w:r>
          </w:p>
        </w:tc>
      </w:tr>
      <w:tr>
        <w:trPr>
          <w:trHeight w:val="290"/>
        </w:trPr>
        <w:tc>
          <w:tcPr>
            <w:tcW w:w="2664"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245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职业介绍</w:t>
            </w:r>
          </w:p>
        </w:tc>
        <w:tc>
          <w:tcPr>
            <w:tcW w:w="331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招聘会公告</w:t>
            </w:r>
          </w:p>
        </w:tc>
      </w:tr>
      <w:tr>
        <w:trPr>
          <w:trHeight w:val="290"/>
        </w:trPr>
        <w:tc>
          <w:tcPr>
            <w:tcW w:w="2664"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2456" w:type="dxa"/>
            <w:vMerge w:val="restart"/>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用工服务</w:t>
            </w:r>
          </w:p>
        </w:tc>
        <w:tc>
          <w:tcPr>
            <w:tcW w:w="331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就业信息查询</w:t>
            </w:r>
          </w:p>
        </w:tc>
      </w:tr>
      <w:tr>
        <w:trPr>
          <w:trHeight w:val="290"/>
        </w:trPr>
        <w:tc>
          <w:tcPr>
            <w:tcW w:w="2664"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2456"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331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合同信息查询</w:t>
            </w:r>
          </w:p>
        </w:tc>
      </w:tr>
      <w:tr>
        <w:trPr>
          <w:trHeight w:val="290"/>
        </w:trPr>
        <w:tc>
          <w:tcPr>
            <w:tcW w:w="2664"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2456"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331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就业登记证号查询</w:t>
            </w:r>
          </w:p>
        </w:tc>
      </w:tr>
      <w:tr>
        <w:trPr>
          <w:trHeight w:val="290"/>
        </w:trPr>
        <w:tc>
          <w:tcPr>
            <w:tcW w:w="2664"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2456" w:type="dxa"/>
            <w:vMerge w:val="restart"/>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职业培训</w:t>
            </w:r>
          </w:p>
        </w:tc>
        <w:tc>
          <w:tcPr>
            <w:tcW w:w="331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培训机构查询</w:t>
            </w:r>
          </w:p>
        </w:tc>
      </w:tr>
      <w:tr>
        <w:trPr>
          <w:trHeight w:val="290"/>
        </w:trPr>
        <w:tc>
          <w:tcPr>
            <w:tcW w:w="2664"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2456"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331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培训工种查询</w:t>
            </w:r>
          </w:p>
        </w:tc>
      </w:tr>
      <w:tr>
        <w:trPr>
          <w:trHeight w:val="290"/>
        </w:trPr>
        <w:tc>
          <w:tcPr>
            <w:tcW w:w="2664"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2456"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331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培训报名</w:t>
            </w:r>
          </w:p>
        </w:tc>
      </w:tr>
      <w:tr>
        <w:trPr>
          <w:trHeight w:val="290"/>
        </w:trPr>
        <w:tc>
          <w:tcPr>
            <w:tcW w:w="2664" w:type="dxa"/>
            <w:vMerge w:val="restart"/>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创业服务</w:t>
            </w:r>
          </w:p>
        </w:tc>
        <w:tc>
          <w:tcPr>
            <w:tcW w:w="245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创业政策指南</w:t>
            </w:r>
          </w:p>
        </w:tc>
        <w:tc>
          <w:tcPr>
            <w:tcW w:w="331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创业政策指南</w:t>
            </w:r>
          </w:p>
        </w:tc>
      </w:tr>
      <w:tr>
        <w:trPr>
          <w:trHeight w:val="290"/>
        </w:trPr>
        <w:tc>
          <w:tcPr>
            <w:tcW w:w="2664"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245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创业项目查询</w:t>
            </w:r>
          </w:p>
        </w:tc>
        <w:tc>
          <w:tcPr>
            <w:tcW w:w="331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创业项目查询</w:t>
            </w:r>
          </w:p>
        </w:tc>
      </w:tr>
      <w:tr>
        <w:trPr>
          <w:trHeight w:val="311"/>
        </w:trPr>
        <w:tc>
          <w:tcPr>
            <w:tcW w:w="2664"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2456" w:type="dxa"/>
            <w:vMerge w:val="restart"/>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创业孵化基地查询</w:t>
            </w:r>
          </w:p>
        </w:tc>
        <w:tc>
          <w:tcPr>
            <w:tcW w:w="3317" w:type="dxa"/>
            <w:vMerge w:val="restart"/>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创业孵化基地查询</w:t>
            </w:r>
          </w:p>
        </w:tc>
      </w:tr>
      <w:tr>
        <w:trPr>
          <w:trHeight w:val="311"/>
        </w:trPr>
        <w:tc>
          <w:tcPr>
            <w:tcW w:w="2664"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2456"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3317"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r>
      <w:tr>
        <w:trPr>
          <w:trHeight w:val="290"/>
        </w:trPr>
        <w:tc>
          <w:tcPr>
            <w:tcW w:w="2664"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245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创业实训基地查询</w:t>
            </w:r>
          </w:p>
        </w:tc>
        <w:tc>
          <w:tcPr>
            <w:tcW w:w="331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创业实训基地查询</w:t>
            </w:r>
          </w:p>
        </w:tc>
      </w:tr>
      <w:tr>
        <w:trPr>
          <w:trHeight w:val="290"/>
        </w:trPr>
        <w:tc>
          <w:tcPr>
            <w:tcW w:w="2664"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245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创业服务网络查询</w:t>
            </w:r>
          </w:p>
        </w:tc>
        <w:tc>
          <w:tcPr>
            <w:tcW w:w="331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创业服务网络查询</w:t>
            </w:r>
          </w:p>
        </w:tc>
      </w:tr>
      <w:tr>
        <w:trPr>
          <w:trHeight w:val="290"/>
        </w:trPr>
        <w:tc>
          <w:tcPr>
            <w:tcW w:w="2664" w:type="dxa"/>
            <w:vMerge w:val="restart"/>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社会保险</w:t>
            </w:r>
          </w:p>
        </w:tc>
        <w:tc>
          <w:tcPr>
            <w:tcW w:w="2456" w:type="dxa"/>
            <w:vMerge w:val="restart"/>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参保缴费</w:t>
            </w:r>
          </w:p>
        </w:tc>
        <w:tc>
          <w:tcPr>
            <w:tcW w:w="331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个人基本信息查询</w:t>
            </w:r>
          </w:p>
        </w:tc>
      </w:tr>
      <w:tr>
        <w:trPr>
          <w:trHeight w:val="290"/>
        </w:trPr>
        <w:tc>
          <w:tcPr>
            <w:tcW w:w="2664"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2456"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331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个人参保信息查询</w:t>
            </w:r>
          </w:p>
        </w:tc>
      </w:tr>
      <w:tr>
        <w:trPr>
          <w:trHeight w:val="290"/>
        </w:trPr>
        <w:tc>
          <w:tcPr>
            <w:tcW w:w="2664"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2456"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331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人员变更信息查询</w:t>
            </w:r>
          </w:p>
        </w:tc>
      </w:tr>
      <w:tr>
        <w:trPr>
          <w:trHeight w:val="290"/>
        </w:trPr>
        <w:tc>
          <w:tcPr>
            <w:tcW w:w="2664"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2456"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331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历年缴费情况查询</w:t>
            </w:r>
          </w:p>
        </w:tc>
      </w:tr>
      <w:tr>
        <w:trPr>
          <w:trHeight w:val="340"/>
        </w:trPr>
        <w:tc>
          <w:tcPr>
            <w:tcW w:w="2664"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2456"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331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历年缴费情况查询(桌面终端)</w:t>
            </w:r>
          </w:p>
        </w:tc>
      </w:tr>
      <w:tr>
        <w:trPr>
          <w:trHeight w:val="600"/>
        </w:trPr>
        <w:tc>
          <w:tcPr>
            <w:tcW w:w="2664"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2456"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331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月缴费明细查询</w:t>
            </w:r>
          </w:p>
        </w:tc>
      </w:tr>
      <w:tr>
        <w:trPr>
          <w:trHeight w:val="620"/>
        </w:trPr>
        <w:tc>
          <w:tcPr>
            <w:tcW w:w="2664"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2456"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331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城乡居民养老打印</w:t>
            </w:r>
          </w:p>
        </w:tc>
      </w:tr>
      <w:tr>
        <w:trPr>
          <w:trHeight w:val="311"/>
        </w:trPr>
        <w:tc>
          <w:tcPr>
            <w:tcW w:w="2664"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2456"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3317" w:type="dxa"/>
            <w:vMerge w:val="restart"/>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参加社会保险证明</w:t>
            </w:r>
          </w:p>
        </w:tc>
      </w:tr>
      <w:tr>
        <w:trPr>
          <w:trHeight w:val="311"/>
        </w:trPr>
        <w:tc>
          <w:tcPr>
            <w:tcW w:w="2664"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2456"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3317"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r>
      <w:tr>
        <w:trPr>
          <w:trHeight w:val="311"/>
        </w:trPr>
        <w:tc>
          <w:tcPr>
            <w:tcW w:w="2664"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2456"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3317"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r>
      <w:tr>
        <w:trPr>
          <w:trHeight w:val="311"/>
        </w:trPr>
        <w:tc>
          <w:tcPr>
            <w:tcW w:w="2664"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2456"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3317"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r>
      <w:tr>
        <w:trPr>
          <w:trHeight w:val="311"/>
        </w:trPr>
        <w:tc>
          <w:tcPr>
            <w:tcW w:w="2664"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2456"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3317" w:type="dxa"/>
            <w:vMerge w:val="restart"/>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灵活再就业参保缴费</w:t>
            </w:r>
          </w:p>
        </w:tc>
      </w:tr>
      <w:tr>
        <w:trPr>
          <w:trHeight w:val="311"/>
        </w:trPr>
        <w:tc>
          <w:tcPr>
            <w:tcW w:w="2664"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2456"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3317"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r>
      <w:tr>
        <w:trPr>
          <w:trHeight w:val="440"/>
        </w:trPr>
        <w:tc>
          <w:tcPr>
            <w:tcW w:w="2664"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2456"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331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灵活再就业停止缴费</w:t>
            </w:r>
          </w:p>
        </w:tc>
      </w:tr>
      <w:tr>
        <w:trPr>
          <w:trHeight w:val="290"/>
        </w:trPr>
        <w:tc>
          <w:tcPr>
            <w:tcW w:w="2664"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2456" w:type="dxa"/>
            <w:vMerge w:val="restart"/>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养老保险</w:t>
            </w:r>
          </w:p>
        </w:tc>
        <w:tc>
          <w:tcPr>
            <w:tcW w:w="331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个人权益单（个人账户）打印</w:t>
            </w:r>
          </w:p>
        </w:tc>
      </w:tr>
      <w:tr>
        <w:trPr>
          <w:trHeight w:val="290"/>
        </w:trPr>
        <w:tc>
          <w:tcPr>
            <w:tcW w:w="2664"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2456"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331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养老待遇信息查询</w:t>
            </w:r>
          </w:p>
        </w:tc>
      </w:tr>
      <w:tr>
        <w:trPr>
          <w:trHeight w:val="290"/>
        </w:trPr>
        <w:tc>
          <w:tcPr>
            <w:tcW w:w="2664"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2456"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331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养老金发放信息查询</w:t>
            </w:r>
          </w:p>
        </w:tc>
      </w:tr>
      <w:tr>
        <w:trPr>
          <w:trHeight w:val="311"/>
        </w:trPr>
        <w:tc>
          <w:tcPr>
            <w:tcW w:w="2664"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2456"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3317" w:type="dxa"/>
            <w:vMerge w:val="restart"/>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退休工资证明</w:t>
            </w:r>
          </w:p>
        </w:tc>
      </w:tr>
      <w:tr>
        <w:trPr>
          <w:trHeight w:val="311"/>
        </w:trPr>
        <w:tc>
          <w:tcPr>
            <w:tcW w:w="2664"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2456"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3317"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r>
      <w:tr>
        <w:trPr>
          <w:trHeight w:val="311"/>
        </w:trPr>
        <w:tc>
          <w:tcPr>
            <w:tcW w:w="2664"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2456"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3317" w:type="dxa"/>
            <w:vMerge w:val="restart"/>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养老金调整情况查询</w:t>
            </w:r>
          </w:p>
        </w:tc>
      </w:tr>
      <w:tr>
        <w:trPr>
          <w:trHeight w:val="311"/>
        </w:trPr>
        <w:tc>
          <w:tcPr>
            <w:tcW w:w="2664"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2456"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3317"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r>
      <w:tr>
        <w:trPr>
          <w:trHeight w:val="290"/>
        </w:trPr>
        <w:tc>
          <w:tcPr>
            <w:tcW w:w="2664"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2456" w:type="dxa"/>
            <w:vMerge w:val="restart"/>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工伤保险</w:t>
            </w:r>
          </w:p>
        </w:tc>
        <w:tc>
          <w:tcPr>
            <w:tcW w:w="331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工伤人员信息查询</w:t>
            </w:r>
          </w:p>
        </w:tc>
      </w:tr>
      <w:tr>
        <w:trPr>
          <w:trHeight w:val="290"/>
        </w:trPr>
        <w:tc>
          <w:tcPr>
            <w:tcW w:w="2664"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2456"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331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工伤定期待遇查询</w:t>
            </w:r>
          </w:p>
        </w:tc>
      </w:tr>
      <w:tr>
        <w:trPr>
          <w:trHeight w:val="290"/>
        </w:trPr>
        <w:tc>
          <w:tcPr>
            <w:tcW w:w="2664"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2456"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331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工伤人员待遇支付信息查询</w:t>
            </w:r>
          </w:p>
        </w:tc>
      </w:tr>
      <w:tr>
        <w:trPr>
          <w:trHeight w:val="290"/>
        </w:trPr>
        <w:tc>
          <w:tcPr>
            <w:tcW w:w="2664"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245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失业保险</w:t>
            </w:r>
          </w:p>
        </w:tc>
        <w:tc>
          <w:tcPr>
            <w:tcW w:w="331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失业保险待遇发放信息查询</w:t>
            </w:r>
          </w:p>
        </w:tc>
      </w:tr>
      <w:tr>
        <w:trPr>
          <w:trHeight w:val="290"/>
        </w:trPr>
        <w:tc>
          <w:tcPr>
            <w:tcW w:w="2664"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 w:val="24"/>
                <w:szCs w:val="24"/>
              </w:rPr>
            </w:pPr>
          </w:p>
        </w:tc>
        <w:tc>
          <w:tcPr>
            <w:tcW w:w="245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退休增资</w:t>
            </w:r>
          </w:p>
        </w:tc>
        <w:tc>
          <w:tcPr>
            <w:tcW w:w="331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企业增资</w:t>
            </w:r>
          </w:p>
        </w:tc>
      </w:tr>
      <w:tr>
        <w:trPr>
          <w:trHeight w:val="290"/>
        </w:trPr>
        <w:tc>
          <w:tcPr>
            <w:tcW w:w="266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人事人才</w:t>
            </w:r>
          </w:p>
        </w:tc>
        <w:tc>
          <w:tcPr>
            <w:tcW w:w="245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流动人员档案信息查询</w:t>
            </w:r>
          </w:p>
        </w:tc>
        <w:tc>
          <w:tcPr>
            <w:tcW w:w="331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流动人员档案信息查询</w:t>
            </w:r>
          </w:p>
        </w:tc>
      </w:tr>
      <w:tr>
        <w:trPr>
          <w:trHeight w:val="311"/>
        </w:trPr>
        <w:tc>
          <w:tcPr>
            <w:tcW w:w="2664" w:type="dxa"/>
            <w:vMerge w:val="restart"/>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社保卡服务</w:t>
            </w:r>
          </w:p>
        </w:tc>
        <w:tc>
          <w:tcPr>
            <w:tcW w:w="2456" w:type="dxa"/>
            <w:vMerge w:val="restart"/>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卡状态查询</w:t>
            </w:r>
          </w:p>
        </w:tc>
        <w:tc>
          <w:tcPr>
            <w:tcW w:w="3317" w:type="dxa"/>
            <w:vMerge w:val="restart"/>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卡状态查询</w:t>
            </w:r>
          </w:p>
        </w:tc>
      </w:tr>
      <w:tr>
        <w:trPr>
          <w:trHeight w:val="290"/>
        </w:trPr>
        <w:tc>
          <w:tcPr>
            <w:tcW w:w="2664"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b/>
                <w:bCs/>
                <w:color w:val="000000"/>
                <w:szCs w:val="21"/>
              </w:rPr>
            </w:pPr>
          </w:p>
        </w:tc>
        <w:tc>
          <w:tcPr>
            <w:tcW w:w="2456"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b/>
                <w:bCs/>
                <w:color w:val="000000"/>
                <w:szCs w:val="21"/>
              </w:rPr>
            </w:pPr>
          </w:p>
        </w:tc>
        <w:tc>
          <w:tcPr>
            <w:tcW w:w="3317" w:type="dxa"/>
            <w:vMerge/>
            <w:tcBorders>
              <w:top w:val="single" w:sz="4" w:space="0" w:color="000000"/>
              <w:left w:val="single" w:sz="4" w:space="0" w:color="000000"/>
              <w:bottom w:val="single" w:sz="4" w:space="0" w:color="000000"/>
              <w:right w:val="single" w:sz="4" w:space="0" w:color="000000"/>
            </w:tcBorders>
            <w:vAlign w:val="center"/>
          </w:tcPr>
          <w:p>
            <w:pPr>
              <w:jc w:val="center"/>
              <w:rPr>
                <w:rFonts w:ascii="宋体" w:hAnsi="宋体" w:cs="宋体"/>
                <w:color w:val="000000"/>
                <w:szCs w:val="21"/>
              </w:rPr>
            </w:pPr>
          </w:p>
        </w:tc>
      </w:tr>
    </w:tbl>
    <w:p>
      <w:pPr>
        <w:numPr>
          <w:ilvl w:val="2"/>
          <w:numId w:val="1"/>
        </w:numPr>
        <w:tabs>
          <w:tab w:val="clear" w:pos="1571"/>
          <w:tab w:val="left" w:pos="992"/>
        </w:tabs>
        <w:spacing w:line="360" w:lineRule="auto"/>
        <w:rPr>
          <w:rFonts w:ascii="宋体" w:hAnsi="宋体"/>
          <w:bCs/>
          <w:sz w:val="24"/>
          <w:szCs w:val="24"/>
        </w:rPr>
      </w:pPr>
      <w:r>
        <w:rPr>
          <w:rFonts w:ascii="宋体" w:hAnsi="宋体" w:hint="eastAsia"/>
          <w:bCs/>
          <w:sz w:val="24"/>
          <w:szCs w:val="24"/>
        </w:rPr>
        <w:t>无锡人社自助服务一体机软件及中间件的维护升级：在不变更原有系统框架和后台结构的情况下，在用户业务范围内，对系统功能进行维护、调整、完善和部署，对新增的需求要及时响应并按时完成开发，将新增内容纳入维护范围。</w:t>
      </w:r>
    </w:p>
    <w:p>
      <w:pPr>
        <w:pStyle w:val="a0"/>
        <w:spacing w:line="360" w:lineRule="auto"/>
        <w:rPr>
          <w:rFonts w:ascii="宋体" w:eastAsia="宋体" w:hAnsi="宋体"/>
          <w:sz w:val="24"/>
          <w:szCs w:val="24"/>
        </w:rPr>
      </w:pPr>
      <w:r>
        <w:rPr>
          <w:rFonts w:ascii="宋体" w:eastAsia="宋体" w:hAnsi="宋体" w:hint="eastAsia"/>
          <w:sz w:val="24"/>
          <w:szCs w:val="24"/>
        </w:rPr>
        <w:t>1.1.5 根据省厅网络和数据安全要求，一体机及时进行响应并按时调整完成，纳入维保范围。</w:t>
      </w:r>
    </w:p>
    <w:p>
      <w:pPr>
        <w:numPr>
          <w:ilvl w:val="1"/>
          <w:numId w:val="1"/>
        </w:numPr>
        <w:spacing w:line="360" w:lineRule="auto"/>
        <w:rPr>
          <w:rFonts w:ascii="宋体" w:hAnsi="宋体"/>
          <w:bCs/>
          <w:sz w:val="24"/>
          <w:szCs w:val="24"/>
        </w:rPr>
      </w:pPr>
      <w:r>
        <w:rPr>
          <w:rFonts w:ascii="宋体" w:hAnsi="宋体" w:hint="eastAsia"/>
          <w:bCs/>
          <w:sz w:val="24"/>
          <w:szCs w:val="24"/>
        </w:rPr>
        <w:t>维保要求</w:t>
      </w:r>
    </w:p>
    <w:p>
      <w:pPr>
        <w:numPr>
          <w:ilvl w:val="2"/>
          <w:numId w:val="1"/>
        </w:numPr>
        <w:tabs>
          <w:tab w:val="left" w:pos="992"/>
        </w:tabs>
        <w:spacing w:line="360" w:lineRule="auto"/>
        <w:rPr>
          <w:rFonts w:ascii="宋体" w:hAnsi="宋体"/>
          <w:bCs/>
          <w:sz w:val="24"/>
          <w:szCs w:val="24"/>
        </w:rPr>
      </w:pPr>
      <w:r>
        <w:rPr>
          <w:rFonts w:ascii="宋体" w:hAnsi="宋体" w:cs="宋体" w:hint="eastAsia"/>
          <w:bCs/>
          <w:sz w:val="24"/>
          <w:szCs w:val="24"/>
        </w:rPr>
        <w:t>△</w:t>
      </w:r>
      <w:r>
        <w:rPr>
          <w:rFonts w:ascii="宋体" w:hAnsi="宋体" w:hint="eastAsia"/>
          <w:bCs/>
          <w:sz w:val="24"/>
          <w:szCs w:val="24"/>
        </w:rPr>
        <w:t>维保的一体机纳入自助服务一体机智能控制管理系统，智能控制管理系统对设备的运行情况进行监控。保证自助一体机始终处于良好稳定的运行工作状态，对使用过程中的一体机的硬件部件和应用软件功能提供保养、修复等技术支持服务。主要包括：</w:t>
      </w:r>
    </w:p>
    <w:p>
      <w:pPr>
        <w:numPr>
          <w:ilvl w:val="3"/>
          <w:numId w:val="1"/>
        </w:numPr>
        <w:tabs>
          <w:tab w:val="clear" w:pos="2356"/>
          <w:tab w:val="left" w:pos="992"/>
        </w:tabs>
        <w:spacing w:line="360" w:lineRule="auto"/>
        <w:ind w:left="0" w:firstLineChars="200" w:firstLine="480"/>
        <w:rPr>
          <w:rFonts w:ascii="宋体" w:hAnsi="宋体"/>
          <w:bCs/>
          <w:sz w:val="24"/>
          <w:szCs w:val="24"/>
        </w:rPr>
      </w:pPr>
      <w:r>
        <w:rPr>
          <w:rFonts w:ascii="宋体" w:hAnsi="宋体" w:hint="eastAsia"/>
          <w:bCs/>
          <w:sz w:val="24"/>
          <w:szCs w:val="24"/>
        </w:rPr>
        <w:t>维修以及更换有关零部件等，负责修复后的设备和部件安装到位，并对设备进行校验和调整。</w:t>
      </w:r>
    </w:p>
    <w:p>
      <w:pPr>
        <w:numPr>
          <w:ilvl w:val="3"/>
          <w:numId w:val="1"/>
        </w:numPr>
        <w:tabs>
          <w:tab w:val="clear" w:pos="2356"/>
          <w:tab w:val="left" w:pos="992"/>
        </w:tabs>
        <w:spacing w:line="360" w:lineRule="auto"/>
        <w:ind w:left="0" w:firstLineChars="200" w:firstLine="480"/>
        <w:rPr>
          <w:rFonts w:ascii="宋体" w:hAnsi="宋体"/>
          <w:bCs/>
          <w:sz w:val="24"/>
          <w:szCs w:val="24"/>
        </w:rPr>
      </w:pPr>
      <w:r>
        <w:rPr>
          <w:rFonts w:ascii="宋体" w:hAnsi="宋体" w:hint="eastAsia"/>
          <w:bCs/>
          <w:sz w:val="24"/>
          <w:szCs w:val="24"/>
        </w:rPr>
        <w:t>对应用软件BUG和严重缺陷的修复，软件升级，软件安装和调试。</w:t>
      </w:r>
    </w:p>
    <w:p>
      <w:pPr>
        <w:numPr>
          <w:ilvl w:val="3"/>
          <w:numId w:val="1"/>
        </w:numPr>
        <w:tabs>
          <w:tab w:val="clear" w:pos="2356"/>
          <w:tab w:val="left" w:pos="992"/>
        </w:tabs>
        <w:spacing w:line="360" w:lineRule="auto"/>
        <w:ind w:left="0" w:firstLineChars="200" w:firstLine="480"/>
        <w:rPr>
          <w:rFonts w:ascii="宋体" w:hAnsi="宋体"/>
          <w:bCs/>
          <w:sz w:val="24"/>
          <w:szCs w:val="24"/>
        </w:rPr>
      </w:pPr>
      <w:r>
        <w:rPr>
          <w:rFonts w:ascii="宋体" w:hAnsi="宋体" w:hint="eastAsia"/>
          <w:bCs/>
          <w:sz w:val="24"/>
          <w:szCs w:val="24"/>
        </w:rPr>
        <w:t>服务过程应文档化，整个服务过程均有文档记录，便于跟踪、分析问题。</w:t>
      </w:r>
    </w:p>
    <w:p>
      <w:pPr>
        <w:numPr>
          <w:ilvl w:val="2"/>
          <w:numId w:val="1"/>
        </w:numPr>
        <w:tabs>
          <w:tab w:val="clear" w:pos="1571"/>
          <w:tab w:val="left" w:pos="992"/>
        </w:tabs>
        <w:spacing w:line="360" w:lineRule="auto"/>
        <w:rPr>
          <w:rFonts w:ascii="宋体" w:hAnsi="宋体"/>
          <w:bCs/>
          <w:sz w:val="24"/>
          <w:szCs w:val="24"/>
        </w:rPr>
      </w:pPr>
      <w:r>
        <w:rPr>
          <w:rFonts w:ascii="宋体" w:hAnsi="宋体" w:hint="eastAsia"/>
          <w:bCs/>
          <w:sz w:val="24"/>
          <w:szCs w:val="24"/>
        </w:rPr>
        <w:lastRenderedPageBreak/>
        <w:t>由于维保采购时间差的问题，对脱保期间需要维修的设备纳入维保范围。</w:t>
      </w:r>
    </w:p>
    <w:p>
      <w:pPr>
        <w:numPr>
          <w:ilvl w:val="2"/>
          <w:numId w:val="1"/>
        </w:numPr>
        <w:tabs>
          <w:tab w:val="clear" w:pos="1571"/>
          <w:tab w:val="left" w:pos="992"/>
        </w:tabs>
        <w:spacing w:line="360" w:lineRule="auto"/>
        <w:rPr>
          <w:rFonts w:ascii="宋体" w:hAnsi="宋体"/>
          <w:bCs/>
          <w:sz w:val="24"/>
          <w:szCs w:val="24"/>
        </w:rPr>
      </w:pPr>
      <w:r>
        <w:rPr>
          <w:rFonts w:ascii="宋体" w:hAnsi="宋体" w:hint="eastAsia"/>
          <w:bCs/>
          <w:sz w:val="24"/>
          <w:szCs w:val="24"/>
        </w:rPr>
        <w:t>要求提供本地化服务，维修工程师应对无锡人社和社保业务系统熟悉，有丰富的自助一体机软、硬件设备的维护经验。</w:t>
      </w:r>
    </w:p>
    <w:p>
      <w:pPr>
        <w:numPr>
          <w:ilvl w:val="2"/>
          <w:numId w:val="1"/>
        </w:numPr>
        <w:tabs>
          <w:tab w:val="clear" w:pos="1571"/>
          <w:tab w:val="left" w:pos="992"/>
        </w:tabs>
        <w:spacing w:line="360" w:lineRule="auto"/>
        <w:rPr>
          <w:rFonts w:ascii="宋体" w:hAnsi="宋体"/>
          <w:bCs/>
          <w:sz w:val="24"/>
          <w:szCs w:val="24"/>
        </w:rPr>
      </w:pPr>
      <w:r>
        <w:rPr>
          <w:rFonts w:ascii="宋体" w:hAnsi="宋体" w:hint="eastAsia"/>
          <w:bCs/>
          <w:sz w:val="24"/>
          <w:szCs w:val="24"/>
        </w:rPr>
        <w:t>要求提供7*24小时的技术支持和服务，</w:t>
      </w:r>
      <w:r>
        <w:rPr>
          <w:rFonts w:ascii="宋体" w:hAnsi="宋体"/>
          <w:bCs/>
          <w:sz w:val="24"/>
          <w:szCs w:val="24"/>
        </w:rPr>
        <w:t>30</w:t>
      </w:r>
      <w:r>
        <w:rPr>
          <w:rFonts w:ascii="宋体" w:hAnsi="宋体" w:hint="eastAsia"/>
          <w:bCs/>
          <w:sz w:val="24"/>
          <w:szCs w:val="24"/>
        </w:rPr>
        <w:t>分钟内的故障响应，远程无法解决的故障</w:t>
      </w:r>
      <w:r>
        <w:rPr>
          <w:rFonts w:ascii="宋体" w:hAnsi="宋体"/>
          <w:bCs/>
          <w:sz w:val="24"/>
          <w:szCs w:val="24"/>
        </w:rPr>
        <w:t>2</w:t>
      </w:r>
      <w:r>
        <w:rPr>
          <w:rFonts w:ascii="宋体" w:hAnsi="宋体" w:hint="eastAsia"/>
          <w:bCs/>
          <w:sz w:val="24"/>
          <w:szCs w:val="24"/>
        </w:rPr>
        <w:t>小时内到达现场，一般故障</w:t>
      </w:r>
      <w:r>
        <w:rPr>
          <w:rFonts w:ascii="宋体" w:hAnsi="宋体"/>
          <w:bCs/>
          <w:sz w:val="24"/>
          <w:szCs w:val="24"/>
        </w:rPr>
        <w:t>4</w:t>
      </w:r>
      <w:r>
        <w:rPr>
          <w:rFonts w:ascii="宋体" w:hAnsi="宋体" w:hint="eastAsia"/>
          <w:bCs/>
          <w:sz w:val="24"/>
          <w:szCs w:val="24"/>
        </w:rPr>
        <w:t>小时内排除，所有故障平均</w:t>
      </w:r>
      <w:r>
        <w:rPr>
          <w:rFonts w:ascii="宋体" w:hAnsi="宋体"/>
          <w:bCs/>
          <w:sz w:val="24"/>
          <w:szCs w:val="24"/>
        </w:rPr>
        <w:t>12</w:t>
      </w:r>
      <w:r>
        <w:rPr>
          <w:rFonts w:ascii="宋体" w:hAnsi="宋体" w:hint="eastAsia"/>
          <w:bCs/>
          <w:sz w:val="24"/>
          <w:szCs w:val="24"/>
        </w:rPr>
        <w:t>小时修复，恢复设备的正常运行（如遇特殊情况要征得同意可适当延迟）。需更换部件的</w:t>
      </w:r>
      <w:r>
        <w:rPr>
          <w:rFonts w:ascii="宋体" w:hAnsi="宋体"/>
          <w:bCs/>
          <w:sz w:val="24"/>
          <w:szCs w:val="24"/>
        </w:rPr>
        <w:t>在5个工作日内修复并交付使用单位</w:t>
      </w:r>
      <w:r>
        <w:rPr>
          <w:rFonts w:ascii="宋体" w:hAnsi="宋体" w:hint="eastAsia"/>
          <w:bCs/>
          <w:sz w:val="24"/>
          <w:szCs w:val="24"/>
        </w:rPr>
        <w:t>。</w:t>
      </w:r>
    </w:p>
    <w:p>
      <w:pPr>
        <w:numPr>
          <w:ilvl w:val="2"/>
          <w:numId w:val="1"/>
        </w:numPr>
        <w:tabs>
          <w:tab w:val="clear" w:pos="1571"/>
          <w:tab w:val="left" w:pos="992"/>
        </w:tabs>
        <w:spacing w:line="360" w:lineRule="auto"/>
        <w:rPr>
          <w:rFonts w:ascii="宋体" w:hAnsi="宋体"/>
          <w:bCs/>
          <w:sz w:val="24"/>
          <w:szCs w:val="24"/>
        </w:rPr>
      </w:pPr>
      <w:r>
        <w:rPr>
          <w:rFonts w:ascii="宋体" w:hAnsi="宋体" w:hint="eastAsia"/>
          <w:bCs/>
          <w:sz w:val="24"/>
          <w:szCs w:val="24"/>
        </w:rPr>
        <w:t>要求维修商有充足的备品备件，能够快速对一体机的故障硬件部件予以更换和修复故障。如果备品备件用完而且该备件产品已经停产，并且无法维修也无相应的替换产品时，将无法维修的一体机写入维护月报，在年终总结时汇总，统计无法维修设备的数量和时间，结算尾款时扣减相应比例金额。</w:t>
      </w:r>
    </w:p>
    <w:p>
      <w:pPr>
        <w:numPr>
          <w:ilvl w:val="2"/>
          <w:numId w:val="1"/>
        </w:numPr>
        <w:tabs>
          <w:tab w:val="clear" w:pos="1571"/>
          <w:tab w:val="left" w:pos="992"/>
        </w:tabs>
        <w:spacing w:line="360" w:lineRule="auto"/>
        <w:rPr>
          <w:rFonts w:eastAsia="华文中宋"/>
        </w:rPr>
      </w:pPr>
      <w:r>
        <w:rPr>
          <w:rFonts w:ascii="宋体" w:hAnsi="宋体" w:hint="eastAsia"/>
          <w:bCs/>
          <w:sz w:val="24"/>
          <w:szCs w:val="24"/>
        </w:rPr>
        <w:t xml:space="preserve">要求日常提供自助服务一体机的技术咨询和疑问解答，必要时上门进行培训指导。   </w:t>
      </w:r>
    </w:p>
    <w:p>
      <w:pPr>
        <w:numPr>
          <w:ilvl w:val="1"/>
          <w:numId w:val="1"/>
        </w:numPr>
        <w:spacing w:line="360" w:lineRule="auto"/>
        <w:rPr>
          <w:rFonts w:ascii="宋体" w:hAnsi="宋体"/>
          <w:bCs/>
          <w:sz w:val="24"/>
          <w:szCs w:val="24"/>
        </w:rPr>
      </w:pPr>
      <w:r>
        <w:rPr>
          <w:rFonts w:ascii="宋体" w:hAnsi="宋体" w:hint="eastAsia"/>
          <w:bCs/>
          <w:sz w:val="24"/>
          <w:szCs w:val="24"/>
        </w:rPr>
        <w:t>服务方式要求</w:t>
      </w:r>
    </w:p>
    <w:p>
      <w:pPr>
        <w:numPr>
          <w:ilvl w:val="2"/>
          <w:numId w:val="1"/>
        </w:numPr>
        <w:tabs>
          <w:tab w:val="clear" w:pos="1571"/>
          <w:tab w:val="left" w:pos="992"/>
        </w:tabs>
        <w:spacing w:line="360" w:lineRule="auto"/>
        <w:rPr>
          <w:rFonts w:ascii="宋体" w:hAnsi="宋体"/>
          <w:bCs/>
          <w:sz w:val="24"/>
          <w:szCs w:val="24"/>
        </w:rPr>
      </w:pPr>
      <w:r>
        <w:rPr>
          <w:rFonts w:ascii="宋体" w:hAnsi="宋体" w:hint="eastAsia"/>
          <w:bCs/>
          <w:sz w:val="24"/>
          <w:szCs w:val="24"/>
        </w:rPr>
        <w:t>电话热线服务。提供快捷、方便、多样的通讯手段，实现7x24小时热线服务支持。</w:t>
      </w:r>
    </w:p>
    <w:p>
      <w:pPr>
        <w:numPr>
          <w:ilvl w:val="2"/>
          <w:numId w:val="1"/>
        </w:numPr>
        <w:tabs>
          <w:tab w:val="clear" w:pos="1571"/>
          <w:tab w:val="left" w:pos="992"/>
        </w:tabs>
        <w:spacing w:line="360" w:lineRule="auto"/>
        <w:rPr>
          <w:rFonts w:ascii="宋体" w:hAnsi="宋体"/>
          <w:bCs/>
          <w:sz w:val="24"/>
          <w:szCs w:val="24"/>
        </w:rPr>
      </w:pPr>
      <w:r>
        <w:rPr>
          <w:rFonts w:ascii="宋体" w:hAnsi="宋体" w:hint="eastAsia"/>
          <w:bCs/>
          <w:sz w:val="24"/>
          <w:szCs w:val="24"/>
        </w:rPr>
        <w:t>现场技术服务。对于严重故障导致一体机不能正常运行，通过电话或网络远程无法解决，必须到现场解决问题。</w:t>
      </w:r>
    </w:p>
    <w:p>
      <w:pPr>
        <w:numPr>
          <w:ilvl w:val="2"/>
          <w:numId w:val="1"/>
        </w:numPr>
        <w:tabs>
          <w:tab w:val="clear" w:pos="1571"/>
          <w:tab w:val="left" w:pos="992"/>
        </w:tabs>
        <w:spacing w:line="360" w:lineRule="auto"/>
        <w:rPr>
          <w:rFonts w:ascii="宋体" w:hAnsi="宋体"/>
          <w:bCs/>
          <w:sz w:val="24"/>
          <w:szCs w:val="24"/>
        </w:rPr>
      </w:pPr>
      <w:r>
        <w:rPr>
          <w:rFonts w:ascii="宋体" w:hAnsi="宋体" w:hint="eastAsia"/>
          <w:bCs/>
          <w:sz w:val="24"/>
          <w:szCs w:val="24"/>
        </w:rPr>
        <w:t>远程支持服务。通过QQ或建立有连网的技术支持与响应中心，设置专人，可以远程登录系统，进行系统检查、故障诊断、软件调整和技术咨询服务等。</w:t>
      </w:r>
    </w:p>
    <w:p>
      <w:pPr>
        <w:numPr>
          <w:ilvl w:val="2"/>
          <w:numId w:val="1"/>
        </w:numPr>
        <w:tabs>
          <w:tab w:val="clear" w:pos="1571"/>
          <w:tab w:val="left" w:pos="992"/>
        </w:tabs>
        <w:spacing w:line="360" w:lineRule="auto"/>
        <w:rPr>
          <w:rFonts w:ascii="宋体" w:hAnsi="宋体"/>
          <w:bCs/>
          <w:sz w:val="24"/>
          <w:szCs w:val="24"/>
        </w:rPr>
      </w:pPr>
      <w:r>
        <w:rPr>
          <w:rFonts w:ascii="宋体" w:hAnsi="宋体" w:hint="eastAsia"/>
          <w:bCs/>
          <w:sz w:val="24"/>
          <w:szCs w:val="24"/>
        </w:rPr>
        <w:t>软件补丁下载更新服务。在互联网上设立了技术服务网站或可以远程软件补丁下载和更新。</w:t>
      </w:r>
    </w:p>
    <w:p>
      <w:pPr>
        <w:numPr>
          <w:ilvl w:val="1"/>
          <w:numId w:val="1"/>
        </w:numPr>
        <w:spacing w:line="360" w:lineRule="auto"/>
        <w:rPr>
          <w:rFonts w:ascii="宋体" w:hAnsi="宋体"/>
          <w:bCs/>
          <w:sz w:val="24"/>
          <w:szCs w:val="24"/>
        </w:rPr>
      </w:pPr>
      <w:r>
        <w:rPr>
          <w:rFonts w:ascii="宋体" w:hAnsi="宋体" w:hint="eastAsia"/>
          <w:bCs/>
          <w:sz w:val="24"/>
          <w:szCs w:val="24"/>
        </w:rPr>
        <w:t>故障级别及服务要求</w:t>
      </w:r>
    </w:p>
    <w:p>
      <w:pPr>
        <w:numPr>
          <w:ilvl w:val="2"/>
          <w:numId w:val="1"/>
        </w:numPr>
        <w:tabs>
          <w:tab w:val="clear" w:pos="1571"/>
          <w:tab w:val="left" w:pos="992"/>
        </w:tabs>
        <w:spacing w:line="360" w:lineRule="auto"/>
        <w:rPr>
          <w:rFonts w:ascii="宋体" w:hAnsi="宋体"/>
          <w:bCs/>
          <w:sz w:val="24"/>
          <w:szCs w:val="24"/>
        </w:rPr>
      </w:pPr>
      <w:bookmarkStart w:id="3" w:name="_Toc373757609"/>
      <w:bookmarkStart w:id="4" w:name="_Toc373757119"/>
      <w:bookmarkStart w:id="5" w:name="_Toc373756743"/>
      <w:bookmarkStart w:id="6" w:name="_Toc373757281"/>
      <w:bookmarkStart w:id="7" w:name="_Toc359838921"/>
      <w:bookmarkStart w:id="8" w:name="_Toc373757956"/>
      <w:bookmarkStart w:id="9" w:name="_Toc388531700"/>
      <w:bookmarkStart w:id="10" w:name="_Toc373758733"/>
      <w:r>
        <w:rPr>
          <w:rFonts w:ascii="宋体" w:hAnsi="宋体" w:hint="eastAsia"/>
          <w:bCs/>
          <w:sz w:val="24"/>
          <w:szCs w:val="24"/>
        </w:rPr>
        <w:t>Ⅰ类</w:t>
      </w:r>
      <w:bookmarkEnd w:id="3"/>
      <w:bookmarkEnd w:id="4"/>
      <w:bookmarkEnd w:id="5"/>
      <w:bookmarkEnd w:id="6"/>
      <w:bookmarkEnd w:id="7"/>
      <w:bookmarkEnd w:id="8"/>
      <w:bookmarkEnd w:id="9"/>
      <w:bookmarkEnd w:id="10"/>
      <w:r>
        <w:rPr>
          <w:rFonts w:ascii="宋体" w:hAnsi="宋体" w:hint="eastAsia"/>
          <w:bCs/>
          <w:sz w:val="24"/>
          <w:szCs w:val="24"/>
        </w:rPr>
        <w:t>故障。本类故障属于非紧急和非严重性问题，可能是由于不清楚操作过程，或者是属于系统配置等方面的原因而导致的问题，但是该类问题不影响系统的正常使用，可以通过电话或QQ等方式支持解决。</w:t>
      </w:r>
    </w:p>
    <w:p>
      <w:pPr>
        <w:numPr>
          <w:ilvl w:val="2"/>
          <w:numId w:val="1"/>
        </w:numPr>
        <w:tabs>
          <w:tab w:val="clear" w:pos="1571"/>
          <w:tab w:val="left" w:pos="992"/>
        </w:tabs>
        <w:spacing w:line="360" w:lineRule="auto"/>
        <w:rPr>
          <w:rFonts w:ascii="宋体" w:hAnsi="宋体"/>
          <w:bCs/>
          <w:sz w:val="24"/>
          <w:szCs w:val="24"/>
        </w:rPr>
      </w:pPr>
      <w:r>
        <w:rPr>
          <w:rFonts w:ascii="宋体" w:hAnsi="宋体" w:hint="eastAsia"/>
          <w:bCs/>
          <w:sz w:val="24"/>
          <w:szCs w:val="24"/>
        </w:rPr>
        <w:t>Ⅱ类故障。本类故障属于严重且紧急的问题。常可能是自助服务一</w:t>
      </w:r>
      <w:r>
        <w:rPr>
          <w:rFonts w:ascii="宋体" w:hAnsi="宋体" w:hint="eastAsia"/>
          <w:bCs/>
          <w:sz w:val="24"/>
          <w:szCs w:val="24"/>
        </w:rPr>
        <w:lastRenderedPageBreak/>
        <w:t>体机硬件或软件出现了严重错误，或者是不能进行正常操作业务，影响业务办理。远程不解解决，必须在规定时间指派专人到现场解决。</w:t>
      </w:r>
    </w:p>
    <w:p>
      <w:pPr>
        <w:numPr>
          <w:ilvl w:val="1"/>
          <w:numId w:val="1"/>
        </w:numPr>
        <w:spacing w:line="360" w:lineRule="auto"/>
        <w:rPr>
          <w:rFonts w:ascii="宋体" w:hAnsi="宋体"/>
          <w:bCs/>
          <w:sz w:val="24"/>
          <w:szCs w:val="24"/>
        </w:rPr>
      </w:pPr>
      <w:r>
        <w:rPr>
          <w:rFonts w:ascii="宋体" w:hAnsi="宋体" w:hint="eastAsia"/>
          <w:bCs/>
          <w:sz w:val="24"/>
          <w:szCs w:val="24"/>
        </w:rPr>
        <w:t>定期巡检服务</w:t>
      </w:r>
    </w:p>
    <w:p>
      <w:pPr>
        <w:spacing w:line="360" w:lineRule="auto"/>
        <w:ind w:left="5" w:firstLineChars="175" w:firstLine="420"/>
        <w:rPr>
          <w:rFonts w:ascii="宋体" w:hAnsi="宋体"/>
          <w:bCs/>
          <w:sz w:val="24"/>
          <w:szCs w:val="24"/>
        </w:rPr>
      </w:pPr>
      <w:r>
        <w:rPr>
          <w:rFonts w:ascii="宋体" w:hAnsi="宋体" w:hint="eastAsia"/>
          <w:bCs/>
          <w:sz w:val="24"/>
          <w:szCs w:val="24"/>
        </w:rPr>
        <w:t>定期对设备进行外表面清洁，每季对设备和软件进行一次预防性巡检。主要服务内容包括：</w:t>
      </w:r>
    </w:p>
    <w:p>
      <w:pPr>
        <w:numPr>
          <w:ilvl w:val="2"/>
          <w:numId w:val="1"/>
        </w:numPr>
        <w:tabs>
          <w:tab w:val="clear" w:pos="1571"/>
          <w:tab w:val="left" w:pos="992"/>
        </w:tabs>
        <w:spacing w:line="360" w:lineRule="auto"/>
        <w:rPr>
          <w:rFonts w:ascii="宋体" w:hAnsi="宋体"/>
          <w:bCs/>
          <w:sz w:val="24"/>
          <w:szCs w:val="24"/>
        </w:rPr>
      </w:pPr>
      <w:r>
        <w:rPr>
          <w:rFonts w:ascii="宋体" w:hAnsi="宋体" w:hint="eastAsia"/>
          <w:bCs/>
          <w:sz w:val="24"/>
          <w:szCs w:val="24"/>
        </w:rPr>
        <w:t>检测操作环境，浏览错误日志、咨询操作员，分析设备隐患和故障诊断，给予适当的改善建议和提出解决办法；对主要部件的除尘、清洁，各模块功能测试调校，确保各部分工作正常，必要时更换零部件。</w:t>
      </w:r>
    </w:p>
    <w:p>
      <w:pPr>
        <w:numPr>
          <w:ilvl w:val="2"/>
          <w:numId w:val="1"/>
        </w:numPr>
        <w:tabs>
          <w:tab w:val="clear" w:pos="1571"/>
          <w:tab w:val="left" w:pos="992"/>
        </w:tabs>
        <w:spacing w:line="360" w:lineRule="auto"/>
        <w:rPr>
          <w:rFonts w:ascii="宋体" w:hAnsi="宋体"/>
          <w:bCs/>
          <w:sz w:val="24"/>
          <w:szCs w:val="24"/>
        </w:rPr>
      </w:pPr>
      <w:r>
        <w:rPr>
          <w:rFonts w:ascii="宋体" w:hAnsi="宋体" w:hint="eastAsia"/>
          <w:bCs/>
          <w:sz w:val="24"/>
          <w:szCs w:val="24"/>
        </w:rPr>
        <w:t>对应用软件的设计缺陷或安全漏洞进行兼容性评估、提供软件升级包、升级方案设计、升级方案实施等操作，从基础上解决可能造成应用软件故障的隐患，提高一体机的运行可靠性。</w:t>
      </w:r>
    </w:p>
    <w:p>
      <w:pPr>
        <w:numPr>
          <w:ilvl w:val="2"/>
          <w:numId w:val="1"/>
        </w:numPr>
        <w:tabs>
          <w:tab w:val="clear" w:pos="1571"/>
          <w:tab w:val="left" w:pos="992"/>
        </w:tabs>
        <w:spacing w:line="360" w:lineRule="auto"/>
        <w:rPr>
          <w:rFonts w:ascii="宋体" w:hAnsi="宋体"/>
          <w:bCs/>
          <w:sz w:val="24"/>
          <w:szCs w:val="24"/>
        </w:rPr>
      </w:pPr>
      <w:r>
        <w:rPr>
          <w:rFonts w:ascii="宋体" w:hAnsi="宋体" w:hint="eastAsia"/>
          <w:bCs/>
          <w:sz w:val="24"/>
          <w:szCs w:val="24"/>
        </w:rPr>
        <w:t>提供自助机运行情况及维护报告。每月提供一份设备维护情况报告，内容包括：报修用户、故障现象、维修过程、解决时间、解决结果、设备运行数据统计、软件功能维护、软件功能开发。汇总每月维护报告，提供年度维护总结报告。</w:t>
      </w:r>
    </w:p>
    <w:p>
      <w:pPr>
        <w:numPr>
          <w:ilvl w:val="1"/>
          <w:numId w:val="1"/>
        </w:numPr>
        <w:spacing w:line="360" w:lineRule="auto"/>
        <w:rPr>
          <w:rFonts w:ascii="宋体" w:hAnsi="宋体"/>
          <w:bCs/>
          <w:sz w:val="24"/>
          <w:szCs w:val="24"/>
        </w:rPr>
      </w:pPr>
      <w:r>
        <w:rPr>
          <w:rFonts w:ascii="宋体" w:hAnsi="宋体" w:hint="eastAsia"/>
          <w:bCs/>
          <w:sz w:val="24"/>
          <w:szCs w:val="24"/>
        </w:rPr>
        <w:t>其他维修要求</w:t>
      </w:r>
    </w:p>
    <w:p>
      <w:pPr>
        <w:numPr>
          <w:ilvl w:val="2"/>
          <w:numId w:val="1"/>
        </w:numPr>
        <w:tabs>
          <w:tab w:val="clear" w:pos="1571"/>
          <w:tab w:val="left" w:pos="992"/>
        </w:tabs>
        <w:spacing w:line="360" w:lineRule="auto"/>
        <w:rPr>
          <w:rFonts w:ascii="宋体" w:hAnsi="宋体"/>
          <w:bCs/>
          <w:sz w:val="24"/>
          <w:szCs w:val="24"/>
        </w:rPr>
      </w:pPr>
      <w:r>
        <w:rPr>
          <w:rFonts w:ascii="宋体" w:hAnsi="宋体" w:hint="eastAsia"/>
          <w:bCs/>
          <w:sz w:val="24"/>
          <w:szCs w:val="24"/>
        </w:rPr>
        <w:t>设备维修前应对即将开展的维修工作进行分析，找出可能存在的风险隐患，采取相应保护措施。检查、分析、了解设备故障发生的原因及现状。在维修前必须切断设备主电源，拔掉主电源线，确认不会漏电后方可进行。</w:t>
      </w:r>
    </w:p>
    <w:p>
      <w:pPr>
        <w:numPr>
          <w:ilvl w:val="2"/>
          <w:numId w:val="1"/>
        </w:numPr>
        <w:tabs>
          <w:tab w:val="clear" w:pos="1571"/>
          <w:tab w:val="left" w:pos="992"/>
        </w:tabs>
        <w:spacing w:line="360" w:lineRule="auto"/>
        <w:rPr>
          <w:rFonts w:ascii="宋体" w:hAnsi="宋体"/>
          <w:bCs/>
          <w:sz w:val="24"/>
          <w:szCs w:val="24"/>
        </w:rPr>
      </w:pPr>
      <w:r>
        <w:rPr>
          <w:rFonts w:ascii="宋体" w:hAnsi="宋体" w:hint="eastAsia"/>
          <w:bCs/>
          <w:sz w:val="24"/>
          <w:szCs w:val="24"/>
        </w:rPr>
        <w:t>维修时，严禁在运行状态下直接接触设备及部件。应注意周围人员及自身的安全，防止挥动工具、工具脱落、工件飞测等不当操作造成的伤害。禁止在旋转、转动的设备及其附属件上进行操作，禁止带电拆卸或组装设备。</w:t>
      </w:r>
    </w:p>
    <w:p>
      <w:pPr>
        <w:numPr>
          <w:ilvl w:val="2"/>
          <w:numId w:val="1"/>
        </w:numPr>
        <w:tabs>
          <w:tab w:val="clear" w:pos="1571"/>
          <w:tab w:val="left" w:pos="992"/>
        </w:tabs>
        <w:spacing w:line="360" w:lineRule="auto"/>
        <w:rPr>
          <w:rFonts w:ascii="宋体" w:hAnsi="宋体"/>
          <w:bCs/>
          <w:sz w:val="24"/>
          <w:szCs w:val="24"/>
        </w:rPr>
      </w:pPr>
      <w:r>
        <w:rPr>
          <w:rFonts w:ascii="宋体" w:hAnsi="宋体" w:hint="eastAsia"/>
          <w:bCs/>
          <w:sz w:val="24"/>
          <w:szCs w:val="24"/>
        </w:rPr>
        <w:t>维修完成后，需检查各部件螺钉已紧固、模块线缆连接无误、模块电源连接正常，设备正常使用，无安全隐患等；还应及时清理环境卫生，保持干净整洁 ，勿将维修工具、螺钉等留在设备中。</w:t>
      </w:r>
    </w:p>
    <w:p>
      <w:pPr>
        <w:numPr>
          <w:ilvl w:val="0"/>
          <w:numId w:val="1"/>
        </w:numPr>
        <w:spacing w:line="360" w:lineRule="auto"/>
        <w:rPr>
          <w:rStyle w:val="2Char"/>
          <w:rFonts w:ascii="宋体" w:hAnsi="宋体"/>
          <w:sz w:val="24"/>
          <w:szCs w:val="24"/>
        </w:rPr>
      </w:pPr>
      <w:bookmarkStart w:id="11" w:name="_Toc18480"/>
      <w:bookmarkEnd w:id="1"/>
      <w:r>
        <w:rPr>
          <w:rStyle w:val="2Char"/>
          <w:rFonts w:ascii="宋体" w:hAnsi="宋体" w:hint="eastAsia"/>
          <w:sz w:val="24"/>
          <w:szCs w:val="24"/>
        </w:rPr>
        <w:t>技术响应要求</w:t>
      </w:r>
    </w:p>
    <w:bookmarkEnd w:id="11"/>
    <w:p>
      <w:pPr>
        <w:numPr>
          <w:ilvl w:val="1"/>
          <w:numId w:val="1"/>
        </w:numPr>
        <w:spacing w:line="360" w:lineRule="auto"/>
        <w:rPr>
          <w:rFonts w:ascii="宋体" w:hAnsi="宋体"/>
          <w:bCs/>
          <w:sz w:val="24"/>
          <w:szCs w:val="24"/>
        </w:rPr>
      </w:pPr>
      <w:r>
        <w:rPr>
          <w:rFonts w:ascii="宋体" w:hAnsi="宋体" w:hint="eastAsia"/>
          <w:bCs/>
          <w:sz w:val="24"/>
          <w:szCs w:val="24"/>
        </w:rPr>
        <w:t>供应商应提供详细的维护服务方案，含维护计划、故障解决措施、系统优化及改造措施、人员配备、提供备品备件。</w:t>
      </w:r>
    </w:p>
    <w:p>
      <w:pPr>
        <w:numPr>
          <w:ilvl w:val="1"/>
          <w:numId w:val="1"/>
        </w:numPr>
        <w:spacing w:line="360" w:lineRule="auto"/>
        <w:rPr>
          <w:rFonts w:ascii="宋体" w:hAnsi="宋体"/>
          <w:bCs/>
          <w:sz w:val="24"/>
          <w:szCs w:val="24"/>
        </w:rPr>
      </w:pPr>
      <w:r>
        <w:rPr>
          <w:rFonts w:ascii="宋体" w:hAnsi="宋体" w:hint="eastAsia"/>
          <w:bCs/>
          <w:sz w:val="24"/>
          <w:szCs w:val="24"/>
        </w:rPr>
        <w:t>供应商提供的服务标准、设备制造标准、安装标准及技术规范等必须</w:t>
      </w:r>
      <w:r>
        <w:rPr>
          <w:rFonts w:ascii="宋体" w:hAnsi="宋体" w:hint="eastAsia"/>
          <w:bCs/>
          <w:sz w:val="24"/>
          <w:szCs w:val="24"/>
        </w:rPr>
        <w:lastRenderedPageBreak/>
        <w:t>符合国家及行业管理相关标准或规范要求，应在响应文件中提供详细实施方案、提供相关证明文件。</w:t>
      </w:r>
    </w:p>
    <w:p>
      <w:pPr>
        <w:numPr>
          <w:ilvl w:val="1"/>
          <w:numId w:val="1"/>
        </w:numPr>
        <w:spacing w:line="360" w:lineRule="auto"/>
        <w:rPr>
          <w:rFonts w:ascii="宋体" w:hAnsi="宋体"/>
          <w:bCs/>
          <w:sz w:val="24"/>
          <w:szCs w:val="24"/>
        </w:rPr>
      </w:pPr>
      <w:r>
        <w:rPr>
          <w:rFonts w:ascii="宋体" w:hAnsi="宋体" w:hint="eastAsia"/>
          <w:bCs/>
          <w:sz w:val="24"/>
          <w:szCs w:val="24"/>
        </w:rPr>
        <w:t>中标供应商维保期内所提供的设备、配件、易损件必须是全新、包装完整、原厂商原装、正规渠道产品。中标供应商应保证采购人在使用设备时安全、可靠，享有完整的原厂商售后服务, 在使用涉及的任何一部分时免受第三方提出侵犯其著作权、专利权、商标权或设计权的纠纷。</w:t>
      </w:r>
    </w:p>
    <w:p>
      <w:pPr>
        <w:numPr>
          <w:ilvl w:val="1"/>
          <w:numId w:val="1"/>
        </w:numPr>
        <w:spacing w:line="360" w:lineRule="auto"/>
        <w:rPr>
          <w:rFonts w:ascii="宋体" w:hAnsi="宋体"/>
          <w:bCs/>
          <w:sz w:val="24"/>
          <w:szCs w:val="24"/>
        </w:rPr>
      </w:pPr>
      <w:r>
        <w:rPr>
          <w:rFonts w:ascii="宋体" w:hAnsi="宋体" w:hint="eastAsia"/>
          <w:bCs/>
          <w:sz w:val="24"/>
          <w:szCs w:val="24"/>
        </w:rPr>
        <w:t>供应商项目配备的进场工作人员配备专业技术工具，应有从事类似服务项目经验。中标供应商应加强进场工作人员的安全教育，相关人员人身安全事故责任均由中标供应商承担。</w:t>
      </w:r>
    </w:p>
    <w:p>
      <w:pPr>
        <w:numPr>
          <w:ilvl w:val="1"/>
          <w:numId w:val="1"/>
        </w:numPr>
        <w:spacing w:line="360" w:lineRule="auto"/>
        <w:rPr>
          <w:rFonts w:ascii="宋体" w:hAnsi="宋体"/>
          <w:bCs/>
          <w:sz w:val="24"/>
          <w:szCs w:val="24"/>
        </w:rPr>
      </w:pPr>
      <w:r>
        <w:rPr>
          <w:rFonts w:ascii="宋体" w:hAnsi="宋体" w:hint="eastAsia"/>
          <w:bCs/>
          <w:sz w:val="24"/>
          <w:szCs w:val="24"/>
        </w:rPr>
        <w:t>系统发生故障时，必须进行数据安全等抢救，应进行数据保护、恢复。中标供应商在实施前必须征得采购人同意，在采购人的监督下实施，实施后接受采购人验收。</w:t>
      </w:r>
    </w:p>
    <w:p>
      <w:pPr>
        <w:numPr>
          <w:ilvl w:val="1"/>
          <w:numId w:val="1"/>
        </w:numPr>
        <w:spacing w:line="360" w:lineRule="auto"/>
        <w:rPr>
          <w:rFonts w:ascii="宋体" w:hAnsi="宋体" w:cs="宋体"/>
          <w:sz w:val="24"/>
          <w:szCs w:val="24"/>
        </w:rPr>
      </w:pPr>
      <w:r>
        <w:rPr>
          <w:rFonts w:ascii="宋体" w:hAnsi="宋体" w:hint="eastAsia"/>
          <w:bCs/>
          <w:sz w:val="24"/>
          <w:szCs w:val="24"/>
        </w:rPr>
        <w:t>中标供应商应作好项目实施记录、跟踪维护报告，项目资料的整理等工作。</w:t>
      </w:r>
    </w:p>
    <w:p>
      <w:pPr>
        <w:pStyle w:val="af6"/>
        <w:numPr>
          <w:ilvl w:val="1"/>
          <w:numId w:val="1"/>
        </w:numPr>
        <w:spacing w:line="360" w:lineRule="auto"/>
        <w:ind w:firstLineChars="0"/>
        <w:rPr>
          <w:rFonts w:ascii="宋体" w:hAnsi="宋体" w:cs="宋体"/>
          <w:sz w:val="24"/>
          <w:szCs w:val="24"/>
        </w:rPr>
      </w:pPr>
      <w:r>
        <w:rPr>
          <w:rFonts w:ascii="宋体" w:hAnsi="宋体" w:cs="宋体" w:hint="eastAsia"/>
          <w:sz w:val="24"/>
          <w:szCs w:val="24"/>
        </w:rPr>
        <w:t>服务期结束后，应提供3个月的售后服务期，售后服务内容包括但不限于新老交接、问题咨询等。</w:t>
      </w:r>
    </w:p>
    <w:p>
      <w:pPr>
        <w:pStyle w:val="a0"/>
      </w:pPr>
    </w:p>
    <w:p>
      <w:pPr>
        <w:spacing w:line="360" w:lineRule="auto"/>
        <w:ind w:firstLineChars="200" w:firstLine="480"/>
        <w:rPr>
          <w:rFonts w:ascii="黑体" w:eastAsia="黑体" w:hAnsi="宋体"/>
          <w:bCs/>
          <w:sz w:val="24"/>
          <w:szCs w:val="24"/>
        </w:rPr>
      </w:pPr>
      <w:r>
        <w:rPr>
          <w:rFonts w:ascii="黑体" w:eastAsia="黑体" w:hAnsi="宋体" w:hint="eastAsia"/>
          <w:bCs/>
          <w:sz w:val="24"/>
          <w:szCs w:val="24"/>
        </w:rPr>
        <w:t>二、有关说明：</w:t>
      </w:r>
    </w:p>
    <w:p>
      <w:pPr>
        <w:numPr>
          <w:ilvl w:val="1"/>
          <w:numId w:val="2"/>
        </w:numPr>
        <w:tabs>
          <w:tab w:val="clear" w:pos="780"/>
          <w:tab w:val="left" w:pos="525"/>
          <w:tab w:val="left" w:pos="945"/>
        </w:tabs>
        <w:spacing w:line="360" w:lineRule="auto"/>
        <w:ind w:left="0" w:firstLine="525"/>
        <w:rPr>
          <w:rFonts w:ascii="宋体"/>
          <w:bCs/>
          <w:sz w:val="24"/>
          <w:szCs w:val="24"/>
        </w:rPr>
      </w:pPr>
      <w:r>
        <w:rPr>
          <w:rFonts w:ascii="宋体" w:hAnsi="宋体" w:hint="eastAsia"/>
          <w:bCs/>
          <w:sz w:val="24"/>
          <w:szCs w:val="24"/>
        </w:rPr>
        <w:t>投标总报价包括满足本项目要求的</w:t>
      </w:r>
      <w:r>
        <w:rPr>
          <w:rFonts w:ascii="宋体" w:hAnsi="宋体" w:hint="eastAsia"/>
          <w:sz w:val="24"/>
          <w:szCs w:val="24"/>
        </w:rPr>
        <w:t>服务项目维护、调试、测试、软件升级、培训、税收、可能漏项漏报的一切费用</w:t>
      </w:r>
      <w:r>
        <w:rPr>
          <w:rFonts w:ascii="宋体" w:hAnsi="宋体" w:hint="eastAsia"/>
          <w:bCs/>
          <w:sz w:val="24"/>
          <w:szCs w:val="24"/>
        </w:rPr>
        <w:t>以及服务期内所发生的一切费用</w:t>
      </w:r>
      <w:r>
        <w:rPr>
          <w:rFonts w:ascii="宋体" w:hAnsi="宋体" w:hint="eastAsia"/>
          <w:sz w:val="24"/>
          <w:szCs w:val="24"/>
        </w:rPr>
        <w:t>，采购人无需再向供应商支付其他任何费用。</w:t>
      </w:r>
    </w:p>
    <w:p>
      <w:pPr>
        <w:numPr>
          <w:ilvl w:val="1"/>
          <w:numId w:val="2"/>
        </w:numPr>
        <w:tabs>
          <w:tab w:val="clear" w:pos="780"/>
          <w:tab w:val="left" w:pos="525"/>
          <w:tab w:val="left" w:pos="945"/>
        </w:tabs>
        <w:spacing w:line="360" w:lineRule="auto"/>
        <w:ind w:left="0" w:firstLine="525"/>
        <w:rPr>
          <w:rFonts w:ascii="宋体"/>
          <w:bCs/>
          <w:sz w:val="24"/>
          <w:szCs w:val="24"/>
        </w:rPr>
      </w:pPr>
      <w:r>
        <w:rPr>
          <w:rFonts w:ascii="宋体" w:hAnsi="宋体" w:hint="eastAsia"/>
          <w:bCs/>
          <w:sz w:val="24"/>
          <w:szCs w:val="24"/>
        </w:rPr>
        <w:t>通过中国海关报关验放进入中国境内且产自关境外的产品不在本项目的报价范围。</w:t>
      </w:r>
    </w:p>
    <w:p>
      <w:pPr>
        <w:numPr>
          <w:ilvl w:val="1"/>
          <w:numId w:val="2"/>
        </w:numPr>
        <w:tabs>
          <w:tab w:val="clear" w:pos="780"/>
          <w:tab w:val="left" w:pos="525"/>
          <w:tab w:val="left" w:pos="945"/>
        </w:tabs>
        <w:spacing w:line="360" w:lineRule="auto"/>
        <w:ind w:left="0" w:firstLine="525"/>
        <w:rPr>
          <w:rFonts w:ascii="宋体"/>
          <w:bCs/>
          <w:sz w:val="24"/>
          <w:szCs w:val="24"/>
        </w:rPr>
      </w:pPr>
      <w:r>
        <w:rPr>
          <w:rFonts w:ascii="宋体" w:hAnsi="宋体" w:hint="eastAsia"/>
          <w:bCs/>
          <w:sz w:val="24"/>
          <w:szCs w:val="24"/>
        </w:rPr>
        <w:t>本项目中有信息安全产品的，必须选择经国家认证的信息安全产品，并提供由中国信息安全认证中心颁发的有效认证证书复印件。</w:t>
      </w:r>
    </w:p>
    <w:p>
      <w:pPr>
        <w:numPr>
          <w:ilvl w:val="1"/>
          <w:numId w:val="2"/>
        </w:numPr>
        <w:tabs>
          <w:tab w:val="clear" w:pos="780"/>
          <w:tab w:val="left" w:pos="525"/>
          <w:tab w:val="left" w:pos="945"/>
        </w:tabs>
        <w:spacing w:line="360" w:lineRule="auto"/>
        <w:ind w:left="0" w:firstLine="525"/>
        <w:rPr>
          <w:rFonts w:ascii="宋体"/>
          <w:bCs/>
          <w:sz w:val="24"/>
          <w:szCs w:val="24"/>
        </w:rPr>
      </w:pPr>
      <w:r>
        <w:rPr>
          <w:rFonts w:ascii="宋体" w:hAnsi="宋体" w:hint="eastAsia"/>
          <w:bCs/>
          <w:sz w:val="24"/>
          <w:szCs w:val="24"/>
        </w:rPr>
        <w:t>本项目中有政府强制采购节能产品的，只能选择财政部、国家发展改革委公布的现行《节能产品政府采购清单》中的产品进行报价。</w:t>
      </w:r>
    </w:p>
    <w:p>
      <w:pPr>
        <w:numPr>
          <w:ilvl w:val="1"/>
          <w:numId w:val="2"/>
        </w:numPr>
        <w:tabs>
          <w:tab w:val="clear" w:pos="780"/>
          <w:tab w:val="left" w:pos="525"/>
          <w:tab w:val="left" w:pos="945"/>
        </w:tabs>
        <w:spacing w:line="360" w:lineRule="auto"/>
        <w:ind w:left="0" w:firstLine="525"/>
        <w:rPr>
          <w:rFonts w:ascii="宋体"/>
          <w:bCs/>
          <w:sz w:val="24"/>
          <w:szCs w:val="24"/>
        </w:rPr>
      </w:pPr>
      <w:r>
        <w:rPr>
          <w:rFonts w:ascii="宋体" w:hAnsi="宋体" w:hint="eastAsia"/>
          <w:bCs/>
          <w:sz w:val="24"/>
          <w:szCs w:val="24"/>
        </w:rPr>
        <w:t>投标人必须在满足招标文件要求的基础上进行报价，如有技术偏离请于投标偏离表中说明。</w:t>
      </w:r>
    </w:p>
    <w:p>
      <w:pPr>
        <w:numPr>
          <w:ilvl w:val="1"/>
          <w:numId w:val="2"/>
        </w:numPr>
        <w:tabs>
          <w:tab w:val="clear" w:pos="780"/>
          <w:tab w:val="left" w:pos="525"/>
          <w:tab w:val="left" w:pos="630"/>
          <w:tab w:val="left" w:pos="735"/>
          <w:tab w:val="left" w:pos="945"/>
        </w:tabs>
        <w:spacing w:line="360" w:lineRule="auto"/>
        <w:ind w:left="0" w:firstLine="525"/>
        <w:rPr>
          <w:rFonts w:ascii="宋体"/>
          <w:bCs/>
          <w:sz w:val="24"/>
          <w:szCs w:val="24"/>
        </w:rPr>
      </w:pPr>
      <w:r>
        <w:rPr>
          <w:rFonts w:ascii="宋体" w:hAnsi="宋体" w:hint="eastAsia"/>
          <w:sz w:val="24"/>
          <w:szCs w:val="24"/>
        </w:rPr>
        <w:lastRenderedPageBreak/>
        <w:t>本项目维护期内若设备故障需要更换配件或设备的，所需的设备费、配件费、更换费用等均由成交供应商承担，采购人不再另行支付，供应商投标报价时须充分考虑该部分风险。</w:t>
      </w:r>
    </w:p>
    <w:p>
      <w:pPr>
        <w:numPr>
          <w:ilvl w:val="1"/>
          <w:numId w:val="2"/>
        </w:numPr>
        <w:tabs>
          <w:tab w:val="clear" w:pos="780"/>
          <w:tab w:val="left" w:pos="525"/>
          <w:tab w:val="left" w:pos="630"/>
          <w:tab w:val="left" w:pos="735"/>
          <w:tab w:val="left" w:pos="945"/>
        </w:tabs>
        <w:spacing w:line="360" w:lineRule="auto"/>
        <w:ind w:left="0" w:firstLine="525"/>
        <w:rPr>
          <w:rFonts w:ascii="宋体" w:hAnsi="宋体"/>
          <w:bCs/>
          <w:sz w:val="24"/>
          <w:szCs w:val="24"/>
        </w:rPr>
      </w:pPr>
      <w:r>
        <w:rPr>
          <w:rFonts w:ascii="宋体" w:hAnsi="宋体" w:hint="eastAsia"/>
          <w:sz w:val="24"/>
          <w:szCs w:val="24"/>
        </w:rPr>
        <w:t>服务</w:t>
      </w:r>
      <w:r>
        <w:rPr>
          <w:rFonts w:ascii="宋体" w:hAnsi="宋体"/>
          <w:sz w:val="24"/>
          <w:szCs w:val="24"/>
        </w:rPr>
        <w:t>期：</w:t>
      </w:r>
      <w:r>
        <w:rPr>
          <w:rFonts w:ascii="宋体" w:hAnsi="宋体" w:hint="eastAsia"/>
          <w:sz w:val="24"/>
          <w:szCs w:val="24"/>
        </w:rPr>
        <w:t>合同签订生效之日起壹年。</w:t>
      </w:r>
    </w:p>
    <w:p>
      <w:pPr>
        <w:numPr>
          <w:ilvl w:val="1"/>
          <w:numId w:val="2"/>
        </w:numPr>
        <w:tabs>
          <w:tab w:val="clear" w:pos="780"/>
          <w:tab w:val="left" w:pos="525"/>
          <w:tab w:val="left" w:pos="630"/>
          <w:tab w:val="left" w:pos="735"/>
          <w:tab w:val="left" w:pos="945"/>
        </w:tabs>
        <w:spacing w:line="360" w:lineRule="auto"/>
        <w:ind w:left="0" w:firstLine="525"/>
        <w:rPr>
          <w:rFonts w:ascii="宋体" w:hAnsi="宋体"/>
          <w:bCs/>
          <w:sz w:val="24"/>
          <w:szCs w:val="24"/>
        </w:rPr>
      </w:pPr>
      <w:r>
        <w:rPr>
          <w:rFonts w:ascii="宋体" w:hAnsi="宋体" w:hint="eastAsia"/>
          <w:bCs/>
          <w:sz w:val="24"/>
          <w:szCs w:val="24"/>
        </w:rPr>
        <w:t>本项目合同履行地点为无锡市，具体地点以合同书约定为准。中标方必须按采购人要求对本项目中指定地点的设备</w:t>
      </w:r>
      <w:r>
        <w:rPr>
          <w:rFonts w:ascii="宋体" w:hAnsi="宋体"/>
          <w:bCs/>
          <w:sz w:val="24"/>
          <w:szCs w:val="24"/>
        </w:rPr>
        <w:t>进行维护</w:t>
      </w:r>
      <w:r>
        <w:rPr>
          <w:rFonts w:ascii="宋体" w:hAnsi="宋体" w:hint="eastAsia"/>
          <w:bCs/>
          <w:sz w:val="24"/>
          <w:szCs w:val="24"/>
        </w:rPr>
        <w:t>。</w:t>
      </w:r>
    </w:p>
    <w:p>
      <w:pPr>
        <w:numPr>
          <w:ilvl w:val="1"/>
          <w:numId w:val="2"/>
        </w:numPr>
        <w:tabs>
          <w:tab w:val="clear" w:pos="780"/>
          <w:tab w:val="left" w:pos="525"/>
          <w:tab w:val="left" w:pos="630"/>
          <w:tab w:val="left" w:pos="735"/>
          <w:tab w:val="left" w:pos="945"/>
        </w:tabs>
        <w:spacing w:line="360" w:lineRule="auto"/>
        <w:ind w:left="0" w:firstLine="525"/>
        <w:rPr>
          <w:rFonts w:ascii="宋体" w:hAnsi="宋体"/>
          <w:bCs/>
          <w:sz w:val="24"/>
          <w:szCs w:val="24"/>
        </w:rPr>
      </w:pPr>
      <w:r>
        <w:rPr>
          <w:rFonts w:ascii="宋体" w:hAnsi="宋体" w:hint="eastAsia"/>
          <w:bCs/>
          <w:sz w:val="24"/>
          <w:szCs w:val="24"/>
        </w:rPr>
        <w:t>付款方式：</w:t>
      </w:r>
      <w:r>
        <w:rPr>
          <w:rFonts w:hAnsi="宋体" w:hint="eastAsia"/>
          <w:color w:val="000000"/>
          <w:sz w:val="24"/>
          <w:szCs w:val="24"/>
        </w:rPr>
        <w:t>合同签订生效后后</w:t>
      </w:r>
      <w:r>
        <w:rPr>
          <w:rFonts w:hAnsi="宋体" w:hint="eastAsia"/>
          <w:color w:val="000000"/>
          <w:sz w:val="24"/>
          <w:szCs w:val="24"/>
          <w:u w:val="single"/>
        </w:rPr>
        <w:t>30</w:t>
      </w:r>
      <w:r>
        <w:rPr>
          <w:rFonts w:hAnsi="宋体" w:hint="eastAsia"/>
          <w:color w:val="000000"/>
          <w:sz w:val="24"/>
          <w:szCs w:val="24"/>
          <w:u w:val="single"/>
        </w:rPr>
        <w:t>个</w:t>
      </w:r>
      <w:r>
        <w:rPr>
          <w:rFonts w:hAnsi="宋体" w:hint="eastAsia"/>
          <w:color w:val="000000"/>
          <w:sz w:val="24"/>
          <w:szCs w:val="24"/>
        </w:rPr>
        <w:t>工作日内，支付合同预付款：合同金额的</w:t>
      </w:r>
      <w:r>
        <w:rPr>
          <w:rFonts w:hAnsi="宋体" w:hint="eastAsia"/>
          <w:color w:val="000000"/>
          <w:sz w:val="24"/>
          <w:szCs w:val="24"/>
          <w:u w:val="single"/>
        </w:rPr>
        <w:t>50</w:t>
      </w:r>
      <w:r>
        <w:rPr>
          <w:rFonts w:hAnsi="宋体" w:hint="eastAsia"/>
          <w:color w:val="000000"/>
          <w:sz w:val="24"/>
          <w:szCs w:val="24"/>
        </w:rPr>
        <w:t>%</w:t>
      </w:r>
      <w:r>
        <w:rPr>
          <w:rFonts w:ascii="宋体" w:hAnsi="宋体" w:hint="eastAsia"/>
          <w:bCs/>
          <w:sz w:val="24"/>
          <w:szCs w:val="24"/>
        </w:rPr>
        <w:t>；运行六个月后支付阶段进度款</w:t>
      </w:r>
      <w:r>
        <w:rPr>
          <w:rFonts w:hAnsi="宋体" w:hint="eastAsia"/>
          <w:color w:val="000000"/>
          <w:sz w:val="24"/>
          <w:szCs w:val="24"/>
        </w:rPr>
        <w:t>：合同金额的</w:t>
      </w:r>
      <w:r>
        <w:rPr>
          <w:rFonts w:hAnsi="宋体" w:hint="eastAsia"/>
          <w:color w:val="000000"/>
          <w:sz w:val="24"/>
          <w:szCs w:val="24"/>
          <w:u w:val="single"/>
        </w:rPr>
        <w:t xml:space="preserve"> 40</w:t>
      </w:r>
      <w:r>
        <w:rPr>
          <w:rFonts w:hAnsi="宋体" w:hint="eastAsia"/>
          <w:color w:val="000000"/>
          <w:sz w:val="24"/>
          <w:szCs w:val="24"/>
        </w:rPr>
        <w:t>%</w:t>
      </w:r>
      <w:r>
        <w:rPr>
          <w:rFonts w:ascii="宋体" w:hAnsi="宋体" w:hint="eastAsia"/>
          <w:bCs/>
          <w:sz w:val="24"/>
          <w:szCs w:val="24"/>
        </w:rPr>
        <w:t>，合同期满验收通过后支付尾款：合同总金额10%。</w:t>
      </w:r>
    </w:p>
    <w:p>
      <w:pPr>
        <w:pStyle w:val="a0"/>
        <w:rPr>
          <w:rFonts w:ascii="宋体"/>
          <w:bCs w:val="0"/>
          <w:sz w:val="24"/>
          <w:szCs w:val="24"/>
        </w:rPr>
      </w:pPr>
      <w:r>
        <w:rPr>
          <w:rFonts w:ascii="宋体" w:hAnsi="宋体" w:hint="eastAsia"/>
          <w:sz w:val="24"/>
          <w:szCs w:val="24"/>
        </w:rPr>
        <w:t>质量及验收：采购人根据国家有关规定、招标文件、中标方的投标文件以及合同约定的内容和验收标准进行验收。验收情况作为支付货款的依据。如有质疑，以相关质量技术检验检测机构的检验结果为准，如产生检验费用，则该费用由过失方承担。</w:t>
      </w:r>
    </w:p>
    <w:p>
      <w:pPr>
        <w:numPr>
          <w:ilvl w:val="1"/>
          <w:numId w:val="2"/>
        </w:numPr>
        <w:tabs>
          <w:tab w:val="clear" w:pos="780"/>
          <w:tab w:val="left" w:pos="525"/>
          <w:tab w:val="left" w:pos="630"/>
          <w:tab w:val="left" w:pos="735"/>
          <w:tab w:val="left" w:pos="945"/>
        </w:tabs>
        <w:spacing w:line="360" w:lineRule="auto"/>
        <w:ind w:left="0" w:firstLine="525"/>
        <w:rPr>
          <w:rFonts w:ascii="宋体" w:hAnsi="宋体"/>
          <w:bCs/>
          <w:sz w:val="24"/>
        </w:rPr>
      </w:pPr>
      <w:r>
        <w:rPr>
          <w:rFonts w:ascii="宋体" w:hAnsi="宋体" w:hint="eastAsia"/>
          <w:bCs/>
          <w:sz w:val="24"/>
        </w:rPr>
        <w:t>根据国家扶持中小企业的有关政策，在我中心组织的采购项目中标的供应商，如需要政府采购信用担保融资，请按锡财购【2013】5号文件执行。</w:t>
      </w:r>
    </w:p>
    <w:p>
      <w:pPr>
        <w:pStyle w:val="a0"/>
      </w:pPr>
    </w:p>
    <w:p>
      <w:pPr>
        <w:pStyle w:val="a0"/>
      </w:pPr>
    </w:p>
    <w:p>
      <w:pPr>
        <w:pStyle w:val="a0"/>
      </w:pPr>
    </w:p>
    <w:p>
      <w:pPr>
        <w:pStyle w:val="a0"/>
      </w:pPr>
    </w:p>
    <w:p>
      <w:pPr>
        <w:pStyle w:val="a0"/>
      </w:pPr>
    </w:p>
    <w:p>
      <w:pPr>
        <w:pStyle w:val="a0"/>
      </w:pPr>
    </w:p>
    <w:p>
      <w:pPr>
        <w:pStyle w:val="a0"/>
      </w:pPr>
    </w:p>
    <w:p>
      <w:pPr>
        <w:pStyle w:val="a0"/>
      </w:pPr>
    </w:p>
    <w:p>
      <w:pPr>
        <w:pStyle w:val="a0"/>
      </w:pPr>
    </w:p>
    <w:p>
      <w:pPr>
        <w:pStyle w:val="a0"/>
      </w:pPr>
    </w:p>
    <w:sectPr>
      <w:headerReference w:type="default" r:id="rId7"/>
      <w:footerReference w:type="even" r:id="rId8"/>
      <w:footerReference w:type="default" r:id="rId9"/>
      <w:footerReference w:type="first" r:id="rId10"/>
      <w:pgSz w:w="11906" w:h="16838"/>
      <w:pgMar w:top="1440" w:right="1800" w:bottom="1440" w:left="1800" w:header="624" w:footer="907" w:gutter="0"/>
      <w:pgNumType w:fmt="numberInDash" w:start="1"/>
      <w:cols w:space="72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c"/>
      <w:framePr w:wrap="around" w:vAnchor="text" w:hAnchor="margin" w:xAlign="center" w:y="1"/>
      <w:rPr>
        <w:rStyle w:val="af1"/>
      </w:rPr>
    </w:pPr>
    <w:r>
      <w:fldChar w:fldCharType="begin"/>
    </w:r>
    <w:r>
      <w:rPr>
        <w:rStyle w:val="af1"/>
      </w:rPr>
      <w:instrText xml:space="preserve">PAGE  </w:instrText>
    </w:r>
    <w:r>
      <w:fldChar w:fldCharType="separate"/>
    </w:r>
    <w:r>
      <w:rPr>
        <w:rStyle w:val="af1"/>
      </w:rPr>
      <w:t>1</w:t>
    </w:r>
    <w:r>
      <w:fldChar w:fldCharType="end"/>
    </w:r>
  </w:p>
  <w:p>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c"/>
      <w:jc w:val="center"/>
    </w:pPr>
    <w:r>
      <w:fldChar w:fldCharType="begin"/>
    </w:r>
    <w:r>
      <w:instrText xml:space="preserve"> PAGE   \* MERGEFORMAT </w:instrText>
    </w:r>
    <w:r>
      <w:fldChar w:fldCharType="separate"/>
    </w:r>
    <w:r>
      <w:rPr>
        <w:noProof/>
        <w:lang w:val="zh-CN"/>
      </w:rPr>
      <w:t>-</w:t>
    </w:r>
    <w:r>
      <w:rPr>
        <w:noProof/>
      </w:rPr>
      <w:t xml:space="preserve"> 4 -</w:t>
    </w:r>
    <w:r>
      <w:rPr>
        <w:lang w:val="zh-CN"/>
      </w:rPr>
      <w:fldChar w:fldCharType="end"/>
    </w:r>
  </w:p>
  <w:p>
    <w:pPr>
      <w:pStyle w:val="ac"/>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c"/>
      <w:jc w:val="center"/>
    </w:pPr>
    <w:r>
      <w:t>- 1-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d"/>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multilevel"/>
    <w:tmpl w:val="0000000A"/>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0" w:firstLine="425"/>
      </w:pPr>
      <w:rPr>
        <w:rFonts w:hint="eastAsia"/>
      </w:rPr>
    </w:lvl>
    <w:lvl w:ilvl="2">
      <w:start w:val="1"/>
      <w:numFmt w:val="decimal"/>
      <w:lvlText w:val="%1.%2.%3"/>
      <w:lvlJc w:val="left"/>
      <w:pPr>
        <w:tabs>
          <w:tab w:val="left" w:pos="1571"/>
        </w:tabs>
        <w:ind w:left="0" w:firstLine="425"/>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 w15:restartNumberingAfterBreak="0">
    <w:nsid w:val="10926BFE"/>
    <w:multiLevelType w:val="multilevel"/>
    <w:tmpl w:val="10926BFE"/>
    <w:lvl w:ilvl="0">
      <w:start w:val="1"/>
      <w:numFmt w:val="japaneseCounting"/>
      <w:lvlText w:val="（%1）"/>
      <w:lvlJc w:val="left"/>
      <w:pPr>
        <w:tabs>
          <w:tab w:val="left" w:pos="1080"/>
        </w:tabs>
        <w:ind w:left="1080" w:hanging="1080"/>
      </w:pPr>
      <w:rPr>
        <w:rFonts w:cs="Times New Roman" w:hint="eastAsia"/>
      </w:rPr>
    </w:lvl>
    <w:lvl w:ilvl="1">
      <w:start w:val="1"/>
      <w:numFmt w:val="decimal"/>
      <w:lvlText w:val="%2."/>
      <w:lvlJc w:val="left"/>
      <w:pPr>
        <w:tabs>
          <w:tab w:val="left" w:pos="780"/>
        </w:tabs>
        <w:ind w:left="780" w:hanging="360"/>
      </w:pPr>
      <w:rPr>
        <w:rFonts w:cs="Times New Roman" w:hint="eastAsia"/>
        <w:color w:val="auto"/>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5"/>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docVars>
    <w:docVar w:name="commondata" w:val="eyJoZGlkIjoiMmVhYjIwYTFkMDUyN2RmOGI2OTNiMWRjYmY5MjBlYTUifQ=="/>
  </w:docVar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C748323-DEBE-43EE-B060-E4327FA6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1"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0" w:unhideWhenUsed="1" w:qFormat="1"/>
    <w:lsdException w:name="footer" w:semiHidden="1" w:uiPriority="99"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iPriority="9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uiPriority="99"/>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qFormat="1"/>
    <w:lsdException w:name="FollowedHyperlink" w:semiHidden="1" w:uiPriority="99" w:unhideWhenUsed="1" w:qFormat="1"/>
    <w:lsdException w:name="Strong" w:uiPriority="99" w:qFormat="1"/>
    <w:lsdException w:name="Emphasis" w:locked="1" w:uiPriority="0" w:qFormat="1"/>
    <w:lsdException w:name="Document Map" w:semiHidden="1" w:uiPriority="99" w:unhideWhenUsed="1"/>
    <w:lsdException w:name="Plain Text" w:semiHidden="1" w:uiPriority="0"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qFormat="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0"/>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rPr>
  </w:style>
  <w:style w:type="paragraph" w:styleId="1">
    <w:name w:val="heading 1"/>
    <w:basedOn w:val="a"/>
    <w:next w:val="a"/>
    <w:link w:val="1Char"/>
    <w:qFormat/>
    <w:pPr>
      <w:keepNext/>
      <w:jc w:val="center"/>
      <w:outlineLvl w:val="0"/>
    </w:pPr>
    <w:rPr>
      <w:rFonts w:ascii="楷体_GB2312"/>
      <w:b/>
      <w:sz w:val="28"/>
    </w:rPr>
  </w:style>
  <w:style w:type="paragraph" w:styleId="2">
    <w:name w:val="heading 2"/>
    <w:basedOn w:val="a"/>
    <w:next w:val="a"/>
    <w:link w:val="2Char"/>
    <w:qFormat/>
    <w:pPr>
      <w:keepNext/>
      <w:jc w:val="center"/>
      <w:outlineLvl w:val="1"/>
    </w:pPr>
    <w:rPr>
      <w:rFonts w:ascii="楷体_GB2312" w:eastAsia="楷体_GB2312"/>
      <w:b/>
      <w:bCs/>
      <w:sz w:val="18"/>
    </w:rPr>
  </w:style>
  <w:style w:type="paragraph" w:styleId="3">
    <w:name w:val="heading 3"/>
    <w:basedOn w:val="a"/>
    <w:next w:val="a"/>
    <w:link w:val="3Char"/>
    <w:qFormat/>
    <w:pPr>
      <w:keepNext/>
      <w:jc w:val="center"/>
      <w:outlineLvl w:val="2"/>
    </w:pPr>
    <w:rPr>
      <w:rFonts w:eastAsia="楷体_GB2312"/>
      <w:b/>
      <w:bCs/>
      <w:sz w:val="15"/>
    </w:rPr>
  </w:style>
  <w:style w:type="paragraph" w:styleId="4">
    <w:name w:val="heading 4"/>
    <w:basedOn w:val="a"/>
    <w:next w:val="a"/>
    <w:link w:val="4Char"/>
    <w:qFormat/>
    <w:pPr>
      <w:keepNext/>
      <w:jc w:val="center"/>
      <w:outlineLvl w:val="3"/>
    </w:pPr>
    <w:rPr>
      <w:rFonts w:eastAsia="楷体_GB2312"/>
      <w:b/>
      <w:bCs/>
      <w:sz w:val="13"/>
    </w:rPr>
  </w:style>
  <w:style w:type="paragraph" w:styleId="5">
    <w:name w:val="heading 5"/>
    <w:basedOn w:val="a"/>
    <w:next w:val="a"/>
    <w:link w:val="5Char"/>
    <w:qFormat/>
    <w:pPr>
      <w:keepNext/>
      <w:tabs>
        <w:tab w:val="left" w:pos="360"/>
      </w:tabs>
      <w:ind w:left="360" w:hanging="360"/>
      <w:outlineLvl w:val="4"/>
    </w:pPr>
    <w:rPr>
      <w:rFonts w:ascii="楷体_GB2312" w:eastAsia="楷体_GB2312"/>
      <w:bCs/>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rPr>
      <w:rFonts w:ascii="华文中宋" w:eastAsia="华文中宋"/>
      <w:bCs/>
      <w:sz w:val="28"/>
    </w:rPr>
  </w:style>
  <w:style w:type="paragraph" w:styleId="a4">
    <w:name w:val="Normal Indent"/>
    <w:basedOn w:val="a"/>
    <w:uiPriority w:val="99"/>
    <w:pPr>
      <w:ind w:firstLine="420"/>
    </w:pPr>
  </w:style>
  <w:style w:type="paragraph" w:styleId="a5">
    <w:name w:val="caption"/>
    <w:basedOn w:val="a"/>
    <w:next w:val="a"/>
    <w:qFormat/>
    <w:locked/>
    <w:pPr>
      <w:ind w:leftChars="100" w:left="210" w:firstLine="420"/>
    </w:pPr>
    <w:rPr>
      <w:rFonts w:ascii="Calibri Light" w:eastAsia="黑体" w:hAnsi="Calibri Light"/>
      <w:sz w:val="20"/>
    </w:rPr>
  </w:style>
  <w:style w:type="paragraph" w:styleId="a6">
    <w:name w:val="Document Map"/>
    <w:basedOn w:val="a"/>
    <w:link w:val="Char0"/>
    <w:uiPriority w:val="99"/>
    <w:semiHidden/>
    <w:pPr>
      <w:shd w:val="clear" w:color="auto" w:fill="000080"/>
    </w:pPr>
  </w:style>
  <w:style w:type="paragraph" w:styleId="a7">
    <w:name w:val="annotation text"/>
    <w:basedOn w:val="a"/>
    <w:link w:val="Char1"/>
    <w:uiPriority w:val="99"/>
    <w:unhideWhenUsed/>
    <w:pPr>
      <w:jc w:val="left"/>
    </w:pPr>
  </w:style>
  <w:style w:type="paragraph" w:styleId="a8">
    <w:name w:val="Body Text Indent"/>
    <w:basedOn w:val="a"/>
    <w:link w:val="Char2"/>
    <w:uiPriority w:val="99"/>
    <w:pPr>
      <w:ind w:firstLine="576"/>
    </w:pPr>
    <w:rPr>
      <w:b/>
      <w:sz w:val="30"/>
    </w:rPr>
  </w:style>
  <w:style w:type="paragraph" w:styleId="a9">
    <w:name w:val="Plain Text"/>
    <w:basedOn w:val="a"/>
    <w:link w:val="Char3"/>
    <w:rPr>
      <w:rFonts w:ascii="宋体" w:hAnsi="Courier New"/>
      <w:kern w:val="0"/>
      <w:sz w:val="20"/>
      <w:szCs w:val="21"/>
    </w:rPr>
  </w:style>
  <w:style w:type="paragraph" w:styleId="aa">
    <w:name w:val="Date"/>
    <w:basedOn w:val="a"/>
    <w:next w:val="a"/>
    <w:link w:val="Char4"/>
    <w:uiPriority w:val="99"/>
    <w:rPr>
      <w:rFonts w:eastAsia="黑体"/>
      <w:b/>
      <w:sz w:val="36"/>
    </w:rPr>
  </w:style>
  <w:style w:type="paragraph" w:styleId="20">
    <w:name w:val="Body Text Indent 2"/>
    <w:basedOn w:val="a"/>
    <w:link w:val="2Char0"/>
    <w:uiPriority w:val="99"/>
    <w:pPr>
      <w:ind w:left="900"/>
    </w:pPr>
    <w:rPr>
      <w:rFonts w:ascii="楷体_GB2312" w:eastAsia="楷体_GB2312"/>
      <w:b/>
      <w:sz w:val="28"/>
    </w:rPr>
  </w:style>
  <w:style w:type="paragraph" w:styleId="ab">
    <w:name w:val="Balloon Text"/>
    <w:basedOn w:val="a"/>
    <w:link w:val="Char5"/>
    <w:uiPriority w:val="99"/>
    <w:unhideWhenUsed/>
    <w:rPr>
      <w:sz w:val="18"/>
      <w:szCs w:val="18"/>
    </w:rPr>
  </w:style>
  <w:style w:type="paragraph" w:styleId="ac">
    <w:name w:val="footer"/>
    <w:basedOn w:val="a"/>
    <w:link w:val="Char6"/>
    <w:uiPriority w:val="99"/>
    <w:qFormat/>
    <w:pPr>
      <w:tabs>
        <w:tab w:val="center" w:pos="4153"/>
        <w:tab w:val="right" w:pos="8306"/>
      </w:tabs>
      <w:snapToGrid w:val="0"/>
      <w:jc w:val="left"/>
    </w:pPr>
    <w:rPr>
      <w:sz w:val="18"/>
    </w:rPr>
  </w:style>
  <w:style w:type="paragraph" w:styleId="ad">
    <w:name w:val="header"/>
    <w:basedOn w:val="a"/>
    <w:link w:val="Char7"/>
    <w:qFormat/>
    <w:pPr>
      <w:pBdr>
        <w:bottom w:val="single" w:sz="6" w:space="1" w:color="auto"/>
      </w:pBdr>
      <w:tabs>
        <w:tab w:val="center" w:pos="4153"/>
        <w:tab w:val="right" w:pos="8306"/>
      </w:tabs>
      <w:snapToGrid w:val="0"/>
      <w:jc w:val="center"/>
    </w:pPr>
    <w:rPr>
      <w:sz w:val="18"/>
    </w:rPr>
  </w:style>
  <w:style w:type="paragraph" w:styleId="30">
    <w:name w:val="Body Text Indent 3"/>
    <w:basedOn w:val="a"/>
    <w:link w:val="3Char0"/>
    <w:uiPriority w:val="99"/>
    <w:pPr>
      <w:ind w:leftChars="171" w:left="359" w:firstLineChars="171" w:firstLine="359"/>
    </w:pPr>
  </w:style>
  <w:style w:type="paragraph" w:styleId="21">
    <w:name w:val="Body Text 2"/>
    <w:basedOn w:val="a"/>
    <w:link w:val="2Char1"/>
    <w:uiPriority w:val="99"/>
    <w:pPr>
      <w:spacing w:after="120" w:line="480" w:lineRule="auto"/>
    </w:pPr>
  </w:style>
  <w:style w:type="paragraph" w:styleId="ae">
    <w:name w:val="Normal (Web)"/>
    <w:basedOn w:val="a"/>
    <w:autoRedefine/>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
    <w:name w:val="annotation subject"/>
    <w:basedOn w:val="a7"/>
    <w:next w:val="a7"/>
    <w:link w:val="Char8"/>
    <w:autoRedefine/>
    <w:uiPriority w:val="99"/>
    <w:unhideWhenUsed/>
    <w:qFormat/>
    <w:rPr>
      <w:b/>
      <w:bCs/>
    </w:rPr>
  </w:style>
  <w:style w:type="character" w:styleId="af0">
    <w:name w:val="Strong"/>
    <w:autoRedefine/>
    <w:uiPriority w:val="99"/>
    <w:qFormat/>
    <w:rPr>
      <w:rFonts w:cs="Times New Roman"/>
      <w:b/>
      <w:bCs/>
    </w:rPr>
  </w:style>
  <w:style w:type="character" w:styleId="af1">
    <w:name w:val="page number"/>
    <w:autoRedefine/>
    <w:uiPriority w:val="99"/>
    <w:qFormat/>
    <w:rPr>
      <w:rFonts w:cs="Times New Roman"/>
    </w:rPr>
  </w:style>
  <w:style w:type="character" w:styleId="af2">
    <w:name w:val="FollowedHyperlink"/>
    <w:autoRedefine/>
    <w:uiPriority w:val="99"/>
    <w:qFormat/>
    <w:rPr>
      <w:rFonts w:cs="Times New Roman"/>
      <w:color w:val="auto"/>
      <w:u w:val="none"/>
    </w:rPr>
  </w:style>
  <w:style w:type="character" w:styleId="af3">
    <w:name w:val="Emphasis"/>
    <w:autoRedefine/>
    <w:qFormat/>
    <w:locked/>
    <w:rPr>
      <w:i/>
    </w:rPr>
  </w:style>
  <w:style w:type="character" w:styleId="HTML">
    <w:name w:val="HTML Typewriter"/>
    <w:autoRedefine/>
    <w:uiPriority w:val="99"/>
    <w:qFormat/>
    <w:rPr>
      <w:rFonts w:ascii="宋体" w:eastAsia="宋体" w:hAnsi="宋体" w:cs="宋体"/>
      <w:sz w:val="24"/>
      <w:szCs w:val="24"/>
    </w:rPr>
  </w:style>
  <w:style w:type="character" w:styleId="af4">
    <w:name w:val="Hyperlink"/>
    <w:autoRedefine/>
    <w:uiPriority w:val="99"/>
    <w:qFormat/>
    <w:rPr>
      <w:rFonts w:cs="Times New Roman"/>
      <w:color w:val="auto"/>
      <w:u w:val="none"/>
    </w:rPr>
  </w:style>
  <w:style w:type="character" w:styleId="af5">
    <w:name w:val="annotation reference"/>
    <w:autoRedefine/>
    <w:uiPriority w:val="99"/>
    <w:unhideWhenUsed/>
    <w:qFormat/>
    <w:rPr>
      <w:sz w:val="21"/>
      <w:szCs w:val="21"/>
    </w:rPr>
  </w:style>
  <w:style w:type="character" w:customStyle="1" w:styleId="Char">
    <w:name w:val="正文文本 Char"/>
    <w:link w:val="a0"/>
    <w:qFormat/>
    <w:locked/>
    <w:rPr>
      <w:rFonts w:cs="Times New Roman"/>
      <w:sz w:val="20"/>
      <w:szCs w:val="20"/>
    </w:rPr>
  </w:style>
  <w:style w:type="character" w:customStyle="1" w:styleId="1Char">
    <w:name w:val="标题 1 Char"/>
    <w:link w:val="1"/>
    <w:locked/>
    <w:rPr>
      <w:rFonts w:ascii="楷体_GB2312"/>
      <w:b/>
      <w:kern w:val="2"/>
      <w:sz w:val="28"/>
    </w:rPr>
  </w:style>
  <w:style w:type="character" w:customStyle="1" w:styleId="2Char">
    <w:name w:val="标题 2 Char"/>
    <w:link w:val="2"/>
    <w:qFormat/>
    <w:locked/>
    <w:rPr>
      <w:rFonts w:ascii="Cambria" w:eastAsia="宋体" w:hAnsi="Cambria" w:cs="Times New Roman"/>
      <w:b/>
      <w:bCs/>
      <w:sz w:val="32"/>
      <w:szCs w:val="32"/>
    </w:rPr>
  </w:style>
  <w:style w:type="character" w:customStyle="1" w:styleId="3Char">
    <w:name w:val="标题 3 Char"/>
    <w:link w:val="3"/>
    <w:locked/>
    <w:rPr>
      <w:rFonts w:cs="Times New Roman"/>
      <w:b/>
      <w:bCs/>
      <w:sz w:val="32"/>
      <w:szCs w:val="32"/>
    </w:rPr>
  </w:style>
  <w:style w:type="character" w:customStyle="1" w:styleId="4Char">
    <w:name w:val="标题 4 Char"/>
    <w:link w:val="4"/>
    <w:locked/>
    <w:rPr>
      <w:rFonts w:ascii="Cambria" w:eastAsia="宋体" w:hAnsi="Cambria" w:cs="Times New Roman"/>
      <w:b/>
      <w:bCs/>
      <w:sz w:val="28"/>
      <w:szCs w:val="28"/>
    </w:rPr>
  </w:style>
  <w:style w:type="character" w:customStyle="1" w:styleId="5Char">
    <w:name w:val="标题 5 Char"/>
    <w:link w:val="5"/>
    <w:qFormat/>
    <w:locked/>
    <w:rPr>
      <w:rFonts w:ascii="楷体_GB2312" w:eastAsia="楷体_GB2312"/>
      <w:bCs/>
      <w:kern w:val="2"/>
      <w:sz w:val="28"/>
    </w:rPr>
  </w:style>
  <w:style w:type="character" w:customStyle="1" w:styleId="Char0">
    <w:name w:val="文档结构图 Char"/>
    <w:link w:val="a6"/>
    <w:uiPriority w:val="99"/>
    <w:semiHidden/>
    <w:locked/>
    <w:rPr>
      <w:rFonts w:cs="Times New Roman"/>
      <w:sz w:val="2"/>
    </w:rPr>
  </w:style>
  <w:style w:type="character" w:customStyle="1" w:styleId="Char1">
    <w:name w:val="批注文字 Char"/>
    <w:link w:val="a7"/>
    <w:uiPriority w:val="99"/>
    <w:semiHidden/>
    <w:rPr>
      <w:kern w:val="2"/>
      <w:sz w:val="21"/>
    </w:rPr>
  </w:style>
  <w:style w:type="character" w:customStyle="1" w:styleId="Char2">
    <w:name w:val="正文文本缩进 Char"/>
    <w:link w:val="a8"/>
    <w:uiPriority w:val="99"/>
    <w:semiHidden/>
    <w:locked/>
    <w:rPr>
      <w:rFonts w:cs="Times New Roman"/>
      <w:sz w:val="20"/>
      <w:szCs w:val="20"/>
    </w:rPr>
  </w:style>
  <w:style w:type="character" w:customStyle="1" w:styleId="Char3">
    <w:name w:val="纯文本 Char"/>
    <w:link w:val="a9"/>
    <w:rPr>
      <w:rFonts w:ascii="宋体" w:hAnsi="Courier New"/>
      <w:szCs w:val="21"/>
    </w:rPr>
  </w:style>
  <w:style w:type="character" w:customStyle="1" w:styleId="Char4">
    <w:name w:val="日期 Char"/>
    <w:link w:val="aa"/>
    <w:uiPriority w:val="99"/>
    <w:semiHidden/>
    <w:locked/>
    <w:rPr>
      <w:rFonts w:cs="Times New Roman"/>
      <w:sz w:val="20"/>
      <w:szCs w:val="20"/>
    </w:rPr>
  </w:style>
  <w:style w:type="character" w:customStyle="1" w:styleId="2Char0">
    <w:name w:val="正文文本缩进 2 Char"/>
    <w:link w:val="20"/>
    <w:uiPriority w:val="99"/>
    <w:semiHidden/>
    <w:locked/>
    <w:rPr>
      <w:rFonts w:cs="Times New Roman"/>
      <w:sz w:val="20"/>
      <w:szCs w:val="20"/>
    </w:rPr>
  </w:style>
  <w:style w:type="character" w:customStyle="1" w:styleId="Char5">
    <w:name w:val="批注框文本 Char"/>
    <w:link w:val="ab"/>
    <w:uiPriority w:val="99"/>
    <w:semiHidden/>
    <w:rPr>
      <w:kern w:val="2"/>
      <w:sz w:val="18"/>
      <w:szCs w:val="18"/>
    </w:rPr>
  </w:style>
  <w:style w:type="character" w:customStyle="1" w:styleId="Char6">
    <w:name w:val="页脚 Char"/>
    <w:link w:val="ac"/>
    <w:uiPriority w:val="99"/>
    <w:qFormat/>
    <w:locked/>
    <w:rPr>
      <w:rFonts w:cs="Times New Roman"/>
      <w:sz w:val="18"/>
      <w:szCs w:val="18"/>
    </w:rPr>
  </w:style>
  <w:style w:type="character" w:customStyle="1" w:styleId="Char7">
    <w:name w:val="页眉 Char"/>
    <w:link w:val="ad"/>
    <w:qFormat/>
    <w:locked/>
    <w:rPr>
      <w:rFonts w:cs="Times New Roman"/>
      <w:sz w:val="18"/>
      <w:szCs w:val="18"/>
    </w:rPr>
  </w:style>
  <w:style w:type="character" w:customStyle="1" w:styleId="3Char0">
    <w:name w:val="正文文本缩进 3 Char"/>
    <w:link w:val="30"/>
    <w:uiPriority w:val="99"/>
    <w:semiHidden/>
    <w:locked/>
    <w:rPr>
      <w:rFonts w:cs="Times New Roman"/>
      <w:sz w:val="16"/>
      <w:szCs w:val="16"/>
    </w:rPr>
  </w:style>
  <w:style w:type="character" w:customStyle="1" w:styleId="2Char1">
    <w:name w:val="正文文本 2 Char"/>
    <w:link w:val="21"/>
    <w:uiPriority w:val="99"/>
    <w:semiHidden/>
    <w:locked/>
    <w:rPr>
      <w:rFonts w:cs="Times New Roman"/>
      <w:sz w:val="20"/>
      <w:szCs w:val="20"/>
    </w:rPr>
  </w:style>
  <w:style w:type="character" w:customStyle="1" w:styleId="Char8">
    <w:name w:val="批注主题 Char"/>
    <w:link w:val="af"/>
    <w:autoRedefine/>
    <w:uiPriority w:val="99"/>
    <w:semiHidden/>
    <w:qFormat/>
    <w:rPr>
      <w:b/>
      <w:bCs/>
      <w:kern w:val="2"/>
      <w:sz w:val="21"/>
    </w:rPr>
  </w:style>
  <w:style w:type="character" w:customStyle="1" w:styleId="case31">
    <w:name w:val="case31"/>
    <w:autoRedefine/>
    <w:uiPriority w:val="99"/>
    <w:qFormat/>
    <w:rPr>
      <w:rFonts w:cs="Times New Roman"/>
      <w:spacing w:val="390"/>
      <w:sz w:val="21"/>
      <w:szCs w:val="21"/>
    </w:rPr>
  </w:style>
  <w:style w:type="character" w:customStyle="1" w:styleId="Char10">
    <w:name w:val="纯文本 Char1"/>
    <w:autoRedefine/>
    <w:uiPriority w:val="99"/>
    <w:semiHidden/>
    <w:qFormat/>
    <w:rPr>
      <w:rFonts w:ascii="宋体" w:hAnsi="Courier New" w:cs="Courier New"/>
      <w:kern w:val="2"/>
      <w:sz w:val="21"/>
      <w:szCs w:val="21"/>
    </w:rPr>
  </w:style>
  <w:style w:type="character" w:customStyle="1" w:styleId="font21">
    <w:name w:val="font21"/>
    <w:autoRedefine/>
    <w:qFormat/>
    <w:rPr>
      <w:rFonts w:ascii="宋体" w:eastAsia="宋体" w:hAnsi="宋体" w:cs="宋体" w:hint="eastAsia"/>
      <w:color w:val="000000"/>
      <w:sz w:val="20"/>
      <w:szCs w:val="20"/>
      <w:u w:val="none"/>
    </w:rPr>
  </w:style>
  <w:style w:type="character" w:customStyle="1" w:styleId="Char9">
    <w:name w:val="列出段落 Char"/>
    <w:link w:val="af6"/>
    <w:autoRedefine/>
    <w:uiPriority w:val="34"/>
    <w:qFormat/>
    <w:locked/>
    <w:rPr>
      <w:kern w:val="2"/>
      <w:sz w:val="21"/>
    </w:rPr>
  </w:style>
  <w:style w:type="paragraph" w:styleId="af6">
    <w:name w:val="List Paragraph"/>
    <w:basedOn w:val="a"/>
    <w:link w:val="Char9"/>
    <w:autoRedefine/>
    <w:uiPriority w:val="34"/>
    <w:qFormat/>
    <w:pPr>
      <w:ind w:firstLineChars="200" w:firstLine="420"/>
    </w:pPr>
  </w:style>
  <w:style w:type="paragraph" w:customStyle="1" w:styleId="font9">
    <w:name w:val="font9"/>
    <w:basedOn w:val="a"/>
    <w:autoRedefine/>
    <w:uiPriority w:val="99"/>
    <w:qFormat/>
    <w:pPr>
      <w:widowControl/>
      <w:spacing w:before="100" w:beforeAutospacing="1" w:after="100" w:afterAutospacing="1"/>
      <w:jc w:val="left"/>
    </w:pPr>
    <w:rPr>
      <w:b/>
      <w:bCs/>
      <w:kern w:val="0"/>
      <w:sz w:val="20"/>
    </w:rPr>
  </w:style>
  <w:style w:type="paragraph" w:customStyle="1" w:styleId="xl39">
    <w:name w:val="xl39"/>
    <w:basedOn w:val="a"/>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3">
    <w:name w:val="xl33"/>
    <w:basedOn w:val="a"/>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xl28">
    <w:name w:val="xl28"/>
    <w:basedOn w:val="a"/>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rPr>
  </w:style>
  <w:style w:type="paragraph" w:customStyle="1" w:styleId="xl54">
    <w:name w:val="xl54"/>
    <w:basedOn w:val="a"/>
    <w:autoRedefine/>
    <w:uiPriority w:val="99"/>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b/>
      <w:bCs/>
      <w:kern w:val="0"/>
      <w:sz w:val="20"/>
    </w:rPr>
  </w:style>
  <w:style w:type="paragraph" w:customStyle="1" w:styleId="xl43">
    <w:name w:val="xl43"/>
    <w:basedOn w:val="a"/>
    <w:autoRedefine/>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xl62">
    <w:name w:val="xl62"/>
    <w:basedOn w:val="a"/>
    <w:autoRedefine/>
    <w:uiPriority w:val="99"/>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rPr>
  </w:style>
  <w:style w:type="paragraph" w:customStyle="1" w:styleId="ParaChar">
    <w:name w:val="默认段落字体 Para Char"/>
    <w:basedOn w:val="a"/>
    <w:autoRedefine/>
    <w:uiPriority w:val="99"/>
    <w:qFormat/>
    <w:pPr>
      <w:tabs>
        <w:tab w:val="left" w:pos="552"/>
      </w:tabs>
      <w:ind w:left="552" w:hanging="420"/>
    </w:pPr>
    <w:rPr>
      <w:sz w:val="24"/>
      <w:szCs w:val="24"/>
    </w:rPr>
  </w:style>
  <w:style w:type="paragraph" w:customStyle="1" w:styleId="xl26">
    <w:name w:val="xl26"/>
    <w:basedOn w:val="a"/>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32">
    <w:name w:val="xl32"/>
    <w:basedOn w:val="a"/>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rPr>
  </w:style>
  <w:style w:type="paragraph" w:customStyle="1" w:styleId="xl59">
    <w:name w:val="xl59"/>
    <w:basedOn w:val="a"/>
    <w:autoRedefine/>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xl24">
    <w:name w:val="xl24"/>
    <w:basedOn w:val="a"/>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rPr>
  </w:style>
  <w:style w:type="paragraph" w:customStyle="1" w:styleId="xl60">
    <w:name w:val="xl60"/>
    <w:basedOn w:val="a"/>
    <w:autoRedefine/>
    <w:uiPriority w:val="99"/>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rPr>
  </w:style>
  <w:style w:type="paragraph" w:customStyle="1" w:styleId="xl49">
    <w:name w:val="xl49"/>
    <w:basedOn w:val="a"/>
    <w:autoRedefine/>
    <w:uiPriority w:val="99"/>
    <w:qFormat/>
    <w:pPr>
      <w:widowControl/>
      <w:pBdr>
        <w:left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font7">
    <w:name w:val="font7"/>
    <w:basedOn w:val="a"/>
    <w:uiPriority w:val="99"/>
    <w:pPr>
      <w:widowControl/>
      <w:spacing w:before="100" w:beforeAutospacing="1" w:after="100" w:afterAutospacing="1"/>
      <w:jc w:val="left"/>
    </w:pPr>
    <w:rPr>
      <w:b/>
      <w:bCs/>
      <w:i/>
      <w:iCs/>
      <w:kern w:val="0"/>
      <w:sz w:val="20"/>
    </w:rPr>
  </w:style>
  <w:style w:type="paragraph" w:customStyle="1" w:styleId="CharCharCharCharCharCharChar">
    <w:name w:val="Char Char Char Char Char Char Char"/>
    <w:basedOn w:val="a"/>
    <w:qFormat/>
    <w:rPr>
      <w:szCs w:val="24"/>
    </w:rPr>
  </w:style>
  <w:style w:type="paragraph" w:customStyle="1" w:styleId="font5">
    <w:name w:val="font5"/>
    <w:basedOn w:val="a"/>
    <w:pPr>
      <w:widowControl/>
      <w:spacing w:before="100" w:beforeAutospacing="1" w:after="100" w:afterAutospacing="1"/>
      <w:jc w:val="left"/>
    </w:pPr>
    <w:rPr>
      <w:rFonts w:ascii="宋体" w:hAnsi="宋体"/>
      <w:kern w:val="0"/>
      <w:sz w:val="18"/>
      <w:szCs w:val="18"/>
    </w:rPr>
  </w:style>
  <w:style w:type="paragraph" w:customStyle="1" w:styleId="xl56">
    <w:name w:val="xl56"/>
    <w:basedOn w:val="a"/>
    <w:uiPriority w:val="99"/>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rPr>
  </w:style>
  <w:style w:type="paragraph" w:customStyle="1" w:styleId="xl41">
    <w:name w:val="xl41"/>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rPr>
  </w:style>
  <w:style w:type="paragraph" w:customStyle="1" w:styleId="font11">
    <w:name w:val="font11"/>
    <w:basedOn w:val="a"/>
    <w:uiPriority w:val="99"/>
    <w:pPr>
      <w:widowControl/>
      <w:spacing w:before="100" w:beforeAutospacing="1" w:after="100" w:afterAutospacing="1"/>
      <w:jc w:val="left"/>
    </w:pPr>
    <w:rPr>
      <w:b/>
      <w:bCs/>
      <w:kern w:val="0"/>
      <w:sz w:val="18"/>
      <w:szCs w:val="18"/>
    </w:rPr>
  </w:style>
  <w:style w:type="paragraph" w:customStyle="1" w:styleId="11">
    <w:name w:val="列出段落11"/>
    <w:basedOn w:val="a"/>
    <w:qFormat/>
    <w:pPr>
      <w:ind w:firstLineChars="200" w:firstLine="420"/>
    </w:pPr>
    <w:rPr>
      <w:rFonts w:ascii="Calibri" w:hAnsi="Calibri"/>
      <w:szCs w:val="22"/>
    </w:rPr>
  </w:style>
  <w:style w:type="paragraph" w:customStyle="1" w:styleId="xl27">
    <w:name w:val="xl27"/>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xl44">
    <w:name w:val="xl44"/>
    <w:basedOn w:val="a"/>
    <w:uiPriority w:val="99"/>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xl52">
    <w:name w:val="xl52"/>
    <w:basedOn w:val="a"/>
    <w:uiPriority w:val="99"/>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rPr>
  </w:style>
  <w:style w:type="paragraph" w:customStyle="1" w:styleId="xl58">
    <w:name w:val="xl58"/>
    <w:basedOn w:val="a"/>
    <w:uiPriority w:val="99"/>
    <w:pPr>
      <w:widowControl/>
      <w:pBdr>
        <w:left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font8">
    <w:name w:val="font8"/>
    <w:basedOn w:val="a"/>
    <w:uiPriority w:val="99"/>
    <w:pPr>
      <w:widowControl/>
      <w:spacing w:before="100" w:beforeAutospacing="1" w:after="100" w:afterAutospacing="1"/>
      <w:jc w:val="left"/>
    </w:pPr>
    <w:rPr>
      <w:rFonts w:ascii="宋体" w:hAnsi="宋体"/>
      <w:b/>
      <w:bCs/>
      <w:i/>
      <w:iCs/>
      <w:kern w:val="0"/>
      <w:sz w:val="20"/>
    </w:rPr>
  </w:style>
  <w:style w:type="paragraph" w:customStyle="1" w:styleId="xl29">
    <w:name w:val="xl29"/>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46">
    <w:name w:val="xl46"/>
    <w:basedOn w:val="a"/>
    <w:uiPriority w:val="99"/>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50">
    <w:name w:val="xl50"/>
    <w:basedOn w:val="a"/>
    <w:uiPriority w:val="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font6">
    <w:name w:val="font6"/>
    <w:basedOn w:val="a"/>
    <w:uiPriority w:val="99"/>
    <w:pPr>
      <w:widowControl/>
      <w:spacing w:before="100" w:beforeAutospacing="1" w:after="100" w:afterAutospacing="1"/>
      <w:jc w:val="left"/>
    </w:pPr>
    <w:rPr>
      <w:rFonts w:ascii="宋体" w:hAnsi="宋体"/>
      <w:b/>
      <w:bCs/>
      <w:kern w:val="0"/>
      <w:sz w:val="20"/>
    </w:rPr>
  </w:style>
  <w:style w:type="paragraph" w:customStyle="1" w:styleId="xl61">
    <w:name w:val="xl61"/>
    <w:basedOn w:val="a"/>
    <w:uiPriority w:val="99"/>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rPr>
  </w:style>
  <w:style w:type="paragraph" w:customStyle="1" w:styleId="xl35">
    <w:name w:val="xl35"/>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i/>
      <w:iCs/>
      <w:kern w:val="0"/>
      <w:sz w:val="20"/>
    </w:rPr>
  </w:style>
  <w:style w:type="paragraph" w:customStyle="1" w:styleId="xl25">
    <w:name w:val="xl25"/>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kern w:val="0"/>
      <w:sz w:val="20"/>
    </w:rPr>
  </w:style>
  <w:style w:type="paragraph" w:customStyle="1" w:styleId="xl57">
    <w:name w:val="xl57"/>
    <w:basedOn w:val="a"/>
    <w:uiPriority w:val="99"/>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xl42">
    <w:name w:val="xl42"/>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rPr>
  </w:style>
  <w:style w:type="paragraph" w:customStyle="1" w:styleId="xl38">
    <w:name w:val="xl38"/>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rPr>
  </w:style>
  <w:style w:type="paragraph" w:customStyle="1" w:styleId="font12">
    <w:name w:val="font12"/>
    <w:basedOn w:val="a"/>
    <w:uiPriority w:val="99"/>
    <w:pPr>
      <w:widowControl/>
      <w:spacing w:before="100" w:beforeAutospacing="1" w:after="100" w:afterAutospacing="1"/>
      <w:jc w:val="left"/>
    </w:pPr>
    <w:rPr>
      <w:rFonts w:ascii="宋体" w:hAnsi="宋体"/>
      <w:kern w:val="0"/>
      <w:sz w:val="36"/>
      <w:szCs w:val="36"/>
    </w:rPr>
  </w:style>
  <w:style w:type="paragraph" w:customStyle="1" w:styleId="xl51">
    <w:name w:val="xl51"/>
    <w:basedOn w:val="a"/>
    <w:uiPriority w:val="99"/>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rPr>
  </w:style>
  <w:style w:type="paragraph" w:customStyle="1" w:styleId="xl55">
    <w:name w:val="xl55"/>
    <w:basedOn w:val="a"/>
    <w:uiPriority w:val="99"/>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rPr>
  </w:style>
  <w:style w:type="paragraph" w:customStyle="1" w:styleId="10">
    <w:name w:val="列出段落1"/>
    <w:basedOn w:val="a"/>
    <w:qFormat/>
    <w:rPr>
      <w:rFonts w:ascii="Calibri" w:hAnsi="Calibri"/>
      <w:szCs w:val="22"/>
    </w:rPr>
  </w:style>
  <w:style w:type="paragraph" w:customStyle="1" w:styleId="font13">
    <w:name w:val="font13"/>
    <w:basedOn w:val="a"/>
    <w:uiPriority w:val="99"/>
    <w:pPr>
      <w:widowControl/>
      <w:spacing w:before="100" w:beforeAutospacing="1" w:after="100" w:afterAutospacing="1"/>
      <w:jc w:val="left"/>
    </w:pPr>
    <w:rPr>
      <w:i/>
      <w:iCs/>
      <w:kern w:val="0"/>
      <w:sz w:val="36"/>
      <w:szCs w:val="36"/>
    </w:rPr>
  </w:style>
  <w:style w:type="paragraph" w:customStyle="1" w:styleId="xl36">
    <w:name w:val="xl36"/>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0"/>
    </w:rPr>
  </w:style>
  <w:style w:type="paragraph" w:customStyle="1" w:styleId="xl63">
    <w:name w:val="xl63"/>
    <w:basedOn w:val="a"/>
    <w:uiPriority w:val="99"/>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rPr>
  </w:style>
  <w:style w:type="paragraph" w:customStyle="1" w:styleId="FA">
    <w:name w:val="FA正文"/>
    <w:basedOn w:val="a"/>
    <w:qFormat/>
    <w:pPr>
      <w:tabs>
        <w:tab w:val="left" w:pos="3375"/>
      </w:tabs>
      <w:spacing w:line="360" w:lineRule="auto"/>
      <w:ind w:firstLineChars="200" w:firstLine="480"/>
    </w:pPr>
    <w:rPr>
      <w:sz w:val="24"/>
      <w:szCs w:val="24"/>
    </w:rPr>
  </w:style>
  <w:style w:type="paragraph" w:customStyle="1" w:styleId="xl476">
    <w:name w:val="xl47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font14">
    <w:name w:val="font14"/>
    <w:basedOn w:val="a"/>
    <w:uiPriority w:val="99"/>
    <w:pPr>
      <w:widowControl/>
      <w:spacing w:before="100" w:beforeAutospacing="1" w:after="100" w:afterAutospacing="1"/>
      <w:jc w:val="left"/>
    </w:pPr>
    <w:rPr>
      <w:kern w:val="0"/>
      <w:sz w:val="36"/>
      <w:szCs w:val="36"/>
    </w:rPr>
  </w:style>
  <w:style w:type="paragraph" w:customStyle="1" w:styleId="xl30">
    <w:name w:val="xl30"/>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rPr>
  </w:style>
  <w:style w:type="paragraph" w:customStyle="1" w:styleId="font10">
    <w:name w:val="font10"/>
    <w:basedOn w:val="a"/>
    <w:uiPriority w:val="99"/>
    <w:pPr>
      <w:widowControl/>
      <w:spacing w:before="100" w:beforeAutospacing="1" w:after="100" w:afterAutospacing="1"/>
      <w:jc w:val="left"/>
    </w:pPr>
    <w:rPr>
      <w:rFonts w:ascii="楷体_GB2312" w:eastAsia="楷体_GB2312" w:hAnsi="宋体"/>
      <w:b/>
      <w:bCs/>
      <w:kern w:val="0"/>
      <w:sz w:val="18"/>
      <w:szCs w:val="18"/>
    </w:rPr>
  </w:style>
  <w:style w:type="paragraph" w:customStyle="1" w:styleId="xl53">
    <w:name w:val="xl53"/>
    <w:basedOn w:val="a"/>
    <w:uiPriority w:val="99"/>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rPr>
  </w:style>
  <w:style w:type="paragraph" w:customStyle="1" w:styleId="xl34">
    <w:name w:val="xl34"/>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rPr>
  </w:style>
  <w:style w:type="paragraph" w:customStyle="1" w:styleId="af7">
    <w:name w:val="普通文字"/>
    <w:basedOn w:val="a"/>
    <w:next w:val="a"/>
    <w:uiPriority w:val="99"/>
    <w:rPr>
      <w:rFonts w:ascii="宋体"/>
      <w:kern w:val="0"/>
      <w:sz w:val="24"/>
      <w:u w:color="000000"/>
    </w:rPr>
  </w:style>
  <w:style w:type="paragraph" w:customStyle="1" w:styleId="xl48">
    <w:name w:val="xl48"/>
    <w:basedOn w:val="a"/>
    <w:uiPriority w:val="99"/>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ParaAttribute4">
    <w:name w:val="ParaAttribute4"/>
    <w:qFormat/>
    <w:pPr>
      <w:spacing w:after="200"/>
    </w:pPr>
    <w:rPr>
      <w:rFonts w:eastAsia="Batang"/>
      <w:sz w:val="21"/>
      <w:szCs w:val="22"/>
    </w:rPr>
  </w:style>
  <w:style w:type="paragraph" w:customStyle="1" w:styleId="xl37">
    <w:name w:val="xl37"/>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i/>
      <w:iCs/>
      <w:kern w:val="0"/>
      <w:sz w:val="20"/>
    </w:rPr>
  </w:style>
  <w:style w:type="paragraph" w:customStyle="1" w:styleId="xl40">
    <w:name w:val="xl40"/>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rPr>
  </w:style>
  <w:style w:type="paragraph" w:customStyle="1" w:styleId="CharCharCharChar">
    <w:name w:val="Char Char Char Char"/>
    <w:basedOn w:val="a6"/>
    <w:uiPriority w:val="99"/>
    <w:pPr>
      <w:adjustRightInd w:val="0"/>
      <w:snapToGrid w:val="0"/>
      <w:spacing w:line="360" w:lineRule="auto"/>
    </w:pPr>
    <w:rPr>
      <w:rFonts w:ascii="Tahoma" w:hAnsi="Tahoma"/>
      <w:sz w:val="24"/>
      <w:szCs w:val="24"/>
    </w:rPr>
  </w:style>
  <w:style w:type="paragraph" w:customStyle="1" w:styleId="xl45">
    <w:name w:val="xl45"/>
    <w:basedOn w:val="a"/>
    <w:uiPriority w:val="99"/>
    <w:pPr>
      <w:widowControl/>
      <w:pBdr>
        <w:left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CharChar1CharCharCharChar">
    <w:name w:val="Char Char1 Char Char Char Char"/>
    <w:basedOn w:val="a6"/>
    <w:uiPriority w:val="99"/>
    <w:pPr>
      <w:adjustRightInd w:val="0"/>
      <w:spacing w:line="436" w:lineRule="exact"/>
      <w:ind w:left="357"/>
      <w:jc w:val="left"/>
      <w:outlineLvl w:val="3"/>
    </w:pPr>
    <w:rPr>
      <w:rFonts w:ascii="Tahoma" w:hAnsi="Tahoma"/>
      <w:b/>
      <w:sz w:val="24"/>
      <w:szCs w:val="24"/>
    </w:rPr>
  </w:style>
  <w:style w:type="paragraph" w:customStyle="1" w:styleId="22">
    <w:name w:val="列出段落2"/>
    <w:basedOn w:val="a"/>
    <w:uiPriority w:val="34"/>
    <w:qFormat/>
    <w:pPr>
      <w:ind w:firstLineChars="200" w:firstLine="420"/>
    </w:pPr>
  </w:style>
  <w:style w:type="paragraph" w:customStyle="1" w:styleId="xl31">
    <w:name w:val="xl31"/>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b/>
      <w:bCs/>
      <w:kern w:val="0"/>
      <w:sz w:val="24"/>
      <w:szCs w:val="24"/>
    </w:rPr>
  </w:style>
  <w:style w:type="paragraph" w:customStyle="1" w:styleId="1111">
    <w:name w:val="样式1111"/>
    <w:basedOn w:val="a"/>
    <w:qFormat/>
    <w:pPr>
      <w:spacing w:line="360" w:lineRule="auto"/>
      <w:ind w:firstLineChars="200" w:firstLine="200"/>
      <w:jc w:val="left"/>
    </w:pPr>
    <w:rPr>
      <w:sz w:val="24"/>
      <w:szCs w:val="24"/>
    </w:rPr>
  </w:style>
  <w:style w:type="paragraph" w:customStyle="1" w:styleId="xl47">
    <w:name w:val="xl47"/>
    <w:basedOn w:val="a"/>
    <w:uiPriority w:val="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38</Pages>
  <Words>16413</Words>
  <Characters>16414</Characters>
  <Application>Microsoft Office Word</Application>
  <DocSecurity>0</DocSecurity>
  <Lines>8207</Lines>
  <Paragraphs>1930</Paragraphs>
  <ScaleCrop>false</ScaleCrop>
  <Company>LenovoCop</Company>
  <LinksUpToDate>false</LinksUpToDate>
  <CharactersWithSpaces>30897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投标邀请函</dc:title>
  <dc:creator>zjt</dc:creator>
  <cp:lastModifiedBy>董大龙[市人社综合服务中心党群部(内审监督部)]</cp:lastModifiedBy>
  <cp:revision>4</cp:revision>
  <cp:lastPrinted>2024-05-21T06:36:00Z</cp:lastPrinted>
  <dcterms:created xsi:type="dcterms:W3CDTF">2025-08-11T02:06:00Z</dcterms:created>
  <dcterms:modified xsi:type="dcterms:W3CDTF">2025-11-05T03:51:00Z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853059A0B9854D929E73C986AD82F037_13</vt:lpwstr>
  </property>
</Properties>
</file>