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794" w:rsidRDefault="007B0B56">
      <w:pPr>
        <w:spacing w:line="560" w:lineRule="exact"/>
        <w:rPr>
          <w:rFonts w:ascii="Times New Roman" w:eastAsia="仿宋" w:hAnsi="Times New Roman" w:cs="Times New Roman"/>
          <w:bCs/>
          <w:sz w:val="28"/>
          <w:szCs w:val="28"/>
        </w:rPr>
      </w:pPr>
      <w:r>
        <w:rPr>
          <w:rFonts w:ascii="Times New Roman" w:eastAsia="仿宋" w:hAnsi="仿宋" w:cs="Times New Roman"/>
          <w:bCs/>
          <w:sz w:val="28"/>
          <w:szCs w:val="28"/>
        </w:rPr>
        <w:t>附件</w:t>
      </w:r>
      <w:r>
        <w:rPr>
          <w:rFonts w:ascii="Times New Roman" w:eastAsia="仿宋" w:hAnsi="Times New Roman" w:cs="Times New Roman"/>
          <w:bCs/>
          <w:sz w:val="28"/>
          <w:szCs w:val="28"/>
        </w:rPr>
        <w:t>1</w:t>
      </w:r>
    </w:p>
    <w:p w:rsidR="00B30794" w:rsidRDefault="00B30794">
      <w:pPr>
        <w:spacing w:line="560" w:lineRule="exact"/>
        <w:jc w:val="center"/>
        <w:rPr>
          <w:rFonts w:ascii="方正小标宋_GBK" w:eastAsia="方正小标宋_GBK" w:hAnsi="仿宋"/>
          <w:bCs/>
          <w:sz w:val="32"/>
          <w:szCs w:val="36"/>
        </w:rPr>
      </w:pPr>
    </w:p>
    <w:p w:rsidR="00B30794" w:rsidRDefault="007B0B56">
      <w:pPr>
        <w:spacing w:line="560" w:lineRule="exact"/>
        <w:jc w:val="center"/>
        <w:rPr>
          <w:rFonts w:ascii="方正小标宋_GBK" w:eastAsia="方正小标宋_GBK" w:hAnsi="仿宋"/>
          <w:bCs/>
          <w:sz w:val="24"/>
          <w:szCs w:val="28"/>
        </w:rPr>
      </w:pPr>
      <w:r>
        <w:rPr>
          <w:rFonts w:ascii="方正小标宋_GBK" w:eastAsia="方正小标宋_GBK" w:hAnsi="仿宋" w:hint="eastAsia"/>
          <w:bCs/>
          <w:sz w:val="32"/>
          <w:szCs w:val="36"/>
        </w:rPr>
        <w:t>202</w:t>
      </w:r>
      <w:r w:rsidR="008B5A81">
        <w:rPr>
          <w:rFonts w:ascii="方正小标宋_GBK" w:eastAsia="方正小标宋_GBK" w:hAnsi="仿宋" w:hint="eastAsia"/>
          <w:bCs/>
          <w:sz w:val="32"/>
          <w:szCs w:val="36"/>
        </w:rPr>
        <w:t>5</w:t>
      </w:r>
      <w:r>
        <w:rPr>
          <w:rFonts w:ascii="方正小标宋_GBK" w:eastAsia="方正小标宋_GBK" w:hAnsi="仿宋" w:hint="eastAsia"/>
          <w:bCs/>
          <w:sz w:val="32"/>
          <w:szCs w:val="36"/>
        </w:rPr>
        <w:t>年公益性青年人才云培训课程采购项目</w:t>
      </w:r>
      <w:r>
        <w:rPr>
          <w:rFonts w:ascii="方正小标宋_GBK" w:eastAsia="方正小标宋_GBK" w:hAnsi="仿宋" w:hint="eastAsia"/>
          <w:bCs/>
          <w:sz w:val="32"/>
          <w:szCs w:val="28"/>
        </w:rPr>
        <w:t>方案</w:t>
      </w:r>
    </w:p>
    <w:p w:rsidR="00B30794" w:rsidRDefault="00B30794">
      <w:pPr>
        <w:spacing w:line="560" w:lineRule="exact"/>
        <w:rPr>
          <w:rFonts w:ascii="仿宋" w:eastAsia="仿宋" w:hAnsi="仿宋"/>
          <w:sz w:val="28"/>
          <w:szCs w:val="28"/>
        </w:rPr>
      </w:pPr>
    </w:p>
    <w:p w:rsidR="00B30794" w:rsidRDefault="007B0B56">
      <w:pPr>
        <w:spacing w:line="560" w:lineRule="exact"/>
        <w:ind w:firstLineChars="200" w:firstLine="562"/>
        <w:rPr>
          <w:rFonts w:ascii="仿宋" w:eastAsia="仿宋" w:hAnsi="仿宋"/>
          <w:b/>
          <w:sz w:val="28"/>
          <w:szCs w:val="28"/>
        </w:rPr>
      </w:pPr>
      <w:r>
        <w:rPr>
          <w:rFonts w:ascii="仿宋" w:eastAsia="仿宋" w:hAnsi="仿宋" w:hint="eastAsia"/>
          <w:b/>
          <w:sz w:val="28"/>
          <w:szCs w:val="28"/>
        </w:rPr>
        <w:t>一、项目背景</w:t>
      </w:r>
    </w:p>
    <w:p w:rsidR="00C456AB" w:rsidRPr="00C456AB" w:rsidRDefault="00C456AB" w:rsidP="00C456AB">
      <w:pPr>
        <w:spacing w:line="560" w:lineRule="exact"/>
        <w:ind w:firstLineChars="200" w:firstLine="560"/>
        <w:rPr>
          <w:rFonts w:ascii="Times New Roman" w:eastAsia="方正仿宋_GBK" w:hAnsi="Times New Roman" w:cs="Times New Roman"/>
          <w:sz w:val="28"/>
          <w:szCs w:val="28"/>
        </w:rPr>
      </w:pPr>
      <w:r w:rsidRPr="00C456AB">
        <w:rPr>
          <w:rFonts w:ascii="方正仿宋_GBK" w:eastAsia="方正仿宋_GBK" w:hAnsi="Times New Roman" w:cs="Times New Roman" w:hint="eastAsia"/>
          <w:sz w:val="28"/>
          <w:szCs w:val="28"/>
        </w:rPr>
        <w:t>为全面贯彻市委市政府“锡引工程”，积极推进全市更加充分、更高质量就</w:t>
      </w:r>
      <w:r w:rsidRPr="00C456AB">
        <w:rPr>
          <w:rFonts w:ascii="Times New Roman" w:eastAsia="方正仿宋_GBK" w:hAnsi="Times New Roman" w:cs="Times New Roman"/>
          <w:sz w:val="28"/>
          <w:szCs w:val="28"/>
        </w:rPr>
        <w:t>业，自</w:t>
      </w:r>
      <w:r w:rsidRPr="00C456AB">
        <w:rPr>
          <w:rFonts w:ascii="Times New Roman" w:eastAsia="方正仿宋_GBK" w:hAnsi="Times New Roman" w:cs="Times New Roman"/>
          <w:sz w:val="28"/>
          <w:szCs w:val="28"/>
        </w:rPr>
        <w:t>2021</w:t>
      </w:r>
      <w:r w:rsidRPr="00C456AB">
        <w:rPr>
          <w:rFonts w:ascii="Times New Roman" w:eastAsia="方正仿宋_GBK" w:hAnsi="Times New Roman" w:cs="Times New Roman"/>
          <w:sz w:val="28"/>
          <w:szCs w:val="28"/>
        </w:rPr>
        <w:t>年启动公益性青年人才云培训平台建设以来，持续更新符合在校大学生、企事业单位新入职大学生和青年员工、用人单位</w:t>
      </w:r>
      <w:r w:rsidRPr="00C456AB">
        <w:rPr>
          <w:rFonts w:ascii="Times New Roman" w:eastAsia="方正仿宋_GBK" w:hAnsi="Times New Roman" w:cs="Times New Roman"/>
          <w:sz w:val="28"/>
          <w:szCs w:val="28"/>
        </w:rPr>
        <w:t>HR</w:t>
      </w:r>
      <w:r w:rsidRPr="00C456AB">
        <w:rPr>
          <w:rFonts w:ascii="Times New Roman" w:eastAsia="方正仿宋_GBK" w:hAnsi="Times New Roman" w:cs="Times New Roman"/>
          <w:sz w:val="28"/>
          <w:szCs w:val="28"/>
        </w:rPr>
        <w:t>等各类青年人才需求的系列课程，已形成覆盖职业发展全周期、技能提升多维度、用户群体差异化的云端学习矩阵。</w:t>
      </w:r>
    </w:p>
    <w:p w:rsidR="00B30794" w:rsidRDefault="00C456AB" w:rsidP="00C456AB">
      <w:pPr>
        <w:spacing w:line="560" w:lineRule="exact"/>
        <w:ind w:firstLineChars="200" w:firstLine="560"/>
        <w:rPr>
          <w:rFonts w:ascii="Times New Roman" w:eastAsia="仿宋" w:hAnsi="Times New Roman" w:cs="Times New Roman"/>
          <w:sz w:val="28"/>
          <w:szCs w:val="28"/>
        </w:rPr>
      </w:pPr>
      <w:r w:rsidRPr="00C456AB">
        <w:rPr>
          <w:rFonts w:ascii="Times New Roman" w:eastAsia="方正仿宋_GBK" w:hAnsi="Times New Roman" w:cs="Times New Roman"/>
          <w:sz w:val="28"/>
          <w:szCs w:val="28"/>
        </w:rPr>
        <w:t>2025</w:t>
      </w:r>
      <w:r w:rsidRPr="00C456AB">
        <w:rPr>
          <w:rFonts w:ascii="Times New Roman" w:eastAsia="方正仿宋_GBK" w:hAnsi="Times New Roman" w:cs="Times New Roman"/>
          <w:sz w:val="28"/>
          <w:szCs w:val="28"/>
        </w:rPr>
        <w:t>年，为进一步深化数字化服务转</w:t>
      </w:r>
      <w:r w:rsidRPr="00C456AB">
        <w:rPr>
          <w:rFonts w:ascii="方正仿宋_GBK" w:eastAsia="方正仿宋_GBK" w:hAnsi="Times New Roman" w:cs="Times New Roman"/>
          <w:sz w:val="28"/>
          <w:szCs w:val="28"/>
        </w:rPr>
        <w:t>型，重点构建</w:t>
      </w:r>
      <w:r w:rsidRPr="00C456AB">
        <w:rPr>
          <w:rFonts w:ascii="方正仿宋_GBK" w:eastAsia="方正仿宋_GBK" w:hAnsi="Times New Roman" w:cs="Times New Roman" w:hint="eastAsia"/>
          <w:sz w:val="28"/>
          <w:szCs w:val="28"/>
        </w:rPr>
        <w:t>“</w:t>
      </w:r>
      <w:r w:rsidRPr="00C456AB">
        <w:rPr>
          <w:rFonts w:ascii="Times New Roman" w:eastAsia="方正仿宋_GBK" w:hAnsi="Times New Roman" w:cs="Times New Roman"/>
          <w:sz w:val="28"/>
          <w:szCs w:val="28"/>
        </w:rPr>
        <w:t>AI+</w:t>
      </w:r>
      <w:r w:rsidRPr="00C456AB">
        <w:rPr>
          <w:rFonts w:ascii="Times New Roman" w:eastAsia="方正仿宋_GBK" w:hAnsi="Times New Roman" w:cs="Times New Roman"/>
          <w:sz w:val="28"/>
          <w:szCs w:val="28"/>
        </w:rPr>
        <w:t>技</w:t>
      </w:r>
      <w:r w:rsidRPr="00C456AB">
        <w:rPr>
          <w:rFonts w:ascii="方正仿宋_GBK" w:eastAsia="方正仿宋_GBK" w:hAnsi="Times New Roman" w:cs="Times New Roman" w:hint="eastAsia"/>
          <w:sz w:val="28"/>
          <w:szCs w:val="28"/>
        </w:rPr>
        <w:t>能培训”新范式，需采购优质课程资源，对培训平台已有课程</w:t>
      </w:r>
      <w:r w:rsidRPr="00C456AB">
        <w:rPr>
          <w:rFonts w:ascii="方正仿宋_GBK" w:eastAsia="方正仿宋_GBK" w:hAnsi="Times New Roman" w:cs="Times New Roman"/>
          <w:sz w:val="28"/>
          <w:szCs w:val="28"/>
        </w:rPr>
        <w:t>进行补充、扩展及延伸，从而为广大青年人才提供更加全面、精准的培训支持，为我市建设青年发展型城市提供智力支撑。</w:t>
      </w:r>
      <w:r w:rsidR="007D589F" w:rsidRPr="00C456AB">
        <w:rPr>
          <w:rFonts w:ascii="方正仿宋_GBK" w:eastAsia="方正仿宋_GBK" w:hAnsi="Times New Roman" w:cs="Times New Roman" w:hint="eastAsia"/>
          <w:sz w:val="28"/>
          <w:szCs w:val="28"/>
        </w:rPr>
        <w:t>现</w:t>
      </w:r>
      <w:r w:rsidRPr="00C456AB">
        <w:rPr>
          <w:rFonts w:ascii="方正仿宋_GBK" w:eastAsia="方正仿宋_GBK" w:hAnsi="Times New Roman" w:cs="Times New Roman"/>
          <w:sz w:val="28"/>
          <w:szCs w:val="28"/>
        </w:rPr>
        <w:t>公告如下：</w:t>
      </w:r>
    </w:p>
    <w:p w:rsidR="00B30794" w:rsidRDefault="007B0B56">
      <w:pPr>
        <w:spacing w:line="560" w:lineRule="exact"/>
        <w:ind w:firstLineChars="200" w:firstLine="562"/>
        <w:rPr>
          <w:rFonts w:ascii="仿宋" w:eastAsia="仿宋" w:hAnsi="仿宋"/>
          <w:b/>
          <w:sz w:val="28"/>
          <w:szCs w:val="28"/>
        </w:rPr>
      </w:pPr>
      <w:r>
        <w:rPr>
          <w:rFonts w:ascii="仿宋" w:eastAsia="仿宋" w:hAnsi="仿宋" w:hint="eastAsia"/>
          <w:b/>
          <w:sz w:val="28"/>
          <w:szCs w:val="28"/>
        </w:rPr>
        <w:t>二、项目情况</w:t>
      </w:r>
    </w:p>
    <w:p w:rsidR="00B30794" w:rsidRDefault="007B0B56">
      <w:pPr>
        <w:spacing w:line="560" w:lineRule="exact"/>
        <w:ind w:firstLineChars="200" w:firstLine="560"/>
        <w:rPr>
          <w:rFonts w:ascii="Times New Roman" w:eastAsia="仿宋" w:hAnsi="Times New Roman" w:cs="Times New Roman"/>
          <w:sz w:val="28"/>
          <w:szCs w:val="28"/>
        </w:rPr>
      </w:pPr>
      <w:r>
        <w:rPr>
          <w:rFonts w:ascii="Times New Roman" w:eastAsia="仿宋" w:hAnsi="Times New Roman" w:cs="Times New Roman" w:hint="eastAsia"/>
          <w:sz w:val="28"/>
          <w:szCs w:val="28"/>
        </w:rPr>
        <w:t>（一）</w:t>
      </w:r>
      <w:r>
        <w:rPr>
          <w:rFonts w:ascii="Times New Roman" w:eastAsia="仿宋" w:hAnsi="仿宋" w:cs="Times New Roman"/>
          <w:sz w:val="28"/>
          <w:szCs w:val="28"/>
        </w:rPr>
        <w:t>项目名称：</w:t>
      </w:r>
      <w:r>
        <w:rPr>
          <w:rFonts w:ascii="Times New Roman" w:eastAsia="仿宋" w:hAnsi="Times New Roman" w:cs="Times New Roman"/>
          <w:sz w:val="28"/>
          <w:szCs w:val="28"/>
        </w:rPr>
        <w:t>202</w:t>
      </w:r>
      <w:r w:rsidR="008B5A81">
        <w:rPr>
          <w:rFonts w:ascii="Times New Roman" w:eastAsia="仿宋" w:hAnsi="Times New Roman" w:cs="Times New Roman" w:hint="eastAsia"/>
          <w:sz w:val="28"/>
          <w:szCs w:val="28"/>
        </w:rPr>
        <w:t>5</w:t>
      </w:r>
      <w:r>
        <w:rPr>
          <w:rFonts w:ascii="Times New Roman" w:eastAsia="仿宋" w:hAnsi="仿宋" w:cs="Times New Roman"/>
          <w:sz w:val="28"/>
          <w:szCs w:val="28"/>
        </w:rPr>
        <w:t>年公益性青年人才云培训课程采购。</w:t>
      </w:r>
    </w:p>
    <w:p w:rsidR="00B30794" w:rsidRDefault="007B0B56">
      <w:pPr>
        <w:spacing w:line="560" w:lineRule="exact"/>
        <w:ind w:firstLineChars="200" w:firstLine="560"/>
        <w:rPr>
          <w:rFonts w:ascii="Times New Roman" w:eastAsia="仿宋" w:hAnsi="Times New Roman" w:cs="Times New Roman"/>
          <w:sz w:val="28"/>
          <w:szCs w:val="28"/>
        </w:rPr>
      </w:pPr>
      <w:r>
        <w:rPr>
          <w:rFonts w:ascii="Times New Roman" w:eastAsia="仿宋" w:hAnsi="Times New Roman" w:cs="Times New Roman" w:hint="eastAsia"/>
          <w:sz w:val="28"/>
          <w:szCs w:val="28"/>
        </w:rPr>
        <w:t>（二）</w:t>
      </w:r>
      <w:r>
        <w:rPr>
          <w:rFonts w:ascii="Times New Roman" w:eastAsia="仿宋" w:hAnsi="仿宋" w:cs="Times New Roman"/>
          <w:sz w:val="28"/>
          <w:szCs w:val="28"/>
        </w:rPr>
        <w:t>项目预算金额：</w:t>
      </w:r>
      <w:r>
        <w:rPr>
          <w:rFonts w:ascii="Times New Roman" w:eastAsia="仿宋" w:hAnsi="Times New Roman" w:cs="Times New Roman" w:hint="eastAsia"/>
          <w:sz w:val="28"/>
          <w:szCs w:val="28"/>
        </w:rPr>
        <w:t>1</w:t>
      </w:r>
      <w:r w:rsidR="008B5A81">
        <w:rPr>
          <w:rFonts w:ascii="Times New Roman" w:eastAsia="仿宋" w:hAnsi="Times New Roman" w:cs="Times New Roman" w:hint="eastAsia"/>
          <w:sz w:val="28"/>
          <w:szCs w:val="28"/>
        </w:rPr>
        <w:t>1</w:t>
      </w:r>
      <w:r>
        <w:rPr>
          <w:rFonts w:ascii="Times New Roman" w:eastAsia="仿宋" w:hAnsi="Times New Roman" w:cs="Times New Roman"/>
          <w:sz w:val="28"/>
          <w:szCs w:val="28"/>
        </w:rPr>
        <w:t>万元</w:t>
      </w:r>
      <w:r>
        <w:rPr>
          <w:rFonts w:ascii="Times New Roman" w:eastAsia="仿宋" w:hAnsi="仿宋" w:cs="Times New Roman"/>
          <w:sz w:val="28"/>
          <w:szCs w:val="28"/>
        </w:rPr>
        <w:t>。</w:t>
      </w:r>
    </w:p>
    <w:p w:rsidR="00B30794" w:rsidRDefault="007B0B56">
      <w:pPr>
        <w:spacing w:line="560" w:lineRule="exact"/>
        <w:ind w:firstLineChars="200" w:firstLine="562"/>
        <w:rPr>
          <w:rFonts w:ascii="仿宋" w:eastAsia="仿宋" w:hAnsi="仿宋"/>
          <w:b/>
          <w:sz w:val="28"/>
          <w:szCs w:val="28"/>
        </w:rPr>
      </w:pPr>
      <w:r>
        <w:rPr>
          <w:rFonts w:ascii="仿宋" w:eastAsia="仿宋" w:hAnsi="仿宋" w:hint="eastAsia"/>
          <w:b/>
          <w:sz w:val="28"/>
          <w:szCs w:val="28"/>
        </w:rPr>
        <w:t>三、采购要求</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（一）</w:t>
      </w:r>
      <w:r w:rsidRPr="00C456AB">
        <w:rPr>
          <w:rFonts w:ascii="Times New Roman" w:eastAsia="仿宋" w:hAnsi="仿宋" w:cs="Times New Roman"/>
          <w:sz w:val="28"/>
          <w:szCs w:val="28"/>
        </w:rPr>
        <w:t>课程数量：高质量相关视频课程不少于</w:t>
      </w:r>
      <w:r w:rsidRPr="00C456AB">
        <w:rPr>
          <w:rFonts w:ascii="Times New Roman" w:eastAsia="仿宋" w:hAnsi="仿宋" w:cs="Times New Roman"/>
          <w:sz w:val="28"/>
          <w:szCs w:val="28"/>
        </w:rPr>
        <w:t>110</w:t>
      </w:r>
      <w:r w:rsidRPr="00C456AB">
        <w:rPr>
          <w:rFonts w:ascii="Times New Roman" w:eastAsia="仿宋" w:hAnsi="仿宋" w:cs="Times New Roman"/>
          <w:sz w:val="28"/>
          <w:szCs w:val="28"/>
        </w:rPr>
        <w:t>门，平均每门课时长不低于</w:t>
      </w:r>
      <w:r w:rsidRPr="00C456AB">
        <w:rPr>
          <w:rFonts w:ascii="Times New Roman" w:eastAsia="仿宋" w:hAnsi="仿宋" w:cs="Times New Roman"/>
          <w:sz w:val="28"/>
          <w:szCs w:val="28"/>
        </w:rPr>
        <w:t>10</w:t>
      </w:r>
      <w:r w:rsidRPr="00C456AB">
        <w:rPr>
          <w:rFonts w:ascii="Times New Roman" w:eastAsia="仿宋" w:hAnsi="仿宋" w:cs="Times New Roman"/>
          <w:sz w:val="28"/>
          <w:szCs w:val="28"/>
        </w:rPr>
        <w:t>分钟。</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（二）</w:t>
      </w:r>
      <w:r w:rsidRPr="00C456AB">
        <w:rPr>
          <w:rFonts w:ascii="Times New Roman" w:eastAsia="仿宋" w:hAnsi="仿宋" w:cs="Times New Roman"/>
          <w:sz w:val="28"/>
          <w:szCs w:val="28"/>
        </w:rPr>
        <w:t>课程内容：根据青年人才和用人单位</w:t>
      </w:r>
      <w:r w:rsidRPr="00C456AB">
        <w:rPr>
          <w:rFonts w:ascii="Times New Roman" w:eastAsia="仿宋" w:hAnsi="仿宋" w:cs="Times New Roman"/>
          <w:sz w:val="28"/>
          <w:szCs w:val="28"/>
        </w:rPr>
        <w:t>HR</w:t>
      </w:r>
      <w:r w:rsidRPr="00C456AB">
        <w:rPr>
          <w:rFonts w:ascii="Times New Roman" w:eastAsia="仿宋" w:hAnsi="仿宋" w:cs="Times New Roman"/>
          <w:sz w:val="28"/>
          <w:szCs w:val="28"/>
        </w:rPr>
        <w:t>的需求，分别提供有针对性的课程。具体要求如下：</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1.</w:t>
      </w:r>
      <w:r w:rsidRPr="00C456AB">
        <w:rPr>
          <w:rFonts w:ascii="Times New Roman" w:eastAsia="仿宋" w:hAnsi="仿宋" w:cs="Times New Roman"/>
          <w:sz w:val="28"/>
          <w:szCs w:val="28"/>
        </w:rPr>
        <w:t>院校类课程（不少于</w:t>
      </w:r>
      <w:r w:rsidRPr="00C456AB">
        <w:rPr>
          <w:rFonts w:ascii="Times New Roman" w:eastAsia="仿宋" w:hAnsi="仿宋" w:cs="Times New Roman"/>
          <w:sz w:val="28"/>
          <w:szCs w:val="28"/>
        </w:rPr>
        <w:t>60</w:t>
      </w:r>
      <w:r w:rsidRPr="00C456AB">
        <w:rPr>
          <w:rFonts w:ascii="Times New Roman" w:eastAsia="仿宋" w:hAnsi="仿宋" w:cs="Times New Roman"/>
          <w:sz w:val="28"/>
          <w:szCs w:val="28"/>
        </w:rPr>
        <w:t>门），适合在校大学生的通用课程，帮助其提升综合素养，实现持续成长。课程内容包括但不限于：党建理</w:t>
      </w:r>
      <w:r w:rsidRPr="00C456AB">
        <w:rPr>
          <w:rFonts w:ascii="Times New Roman" w:eastAsia="仿宋" w:hAnsi="仿宋" w:cs="Times New Roman"/>
          <w:sz w:val="28"/>
          <w:szCs w:val="28"/>
        </w:rPr>
        <w:lastRenderedPageBreak/>
        <w:t>论、时间管理、人际交往、学术研究与论文写作、职业规划、职场适应与职业素养等。要求党建类课程不少于</w:t>
      </w:r>
      <w:r w:rsidRPr="00C456AB">
        <w:rPr>
          <w:rFonts w:ascii="Times New Roman" w:eastAsia="仿宋" w:hAnsi="仿宋" w:cs="Times New Roman"/>
          <w:sz w:val="28"/>
          <w:szCs w:val="28"/>
        </w:rPr>
        <w:t>5</w:t>
      </w:r>
      <w:r w:rsidRPr="00C456AB">
        <w:rPr>
          <w:rFonts w:ascii="Times New Roman" w:eastAsia="仿宋" w:hAnsi="仿宋" w:cs="Times New Roman"/>
          <w:sz w:val="28"/>
          <w:szCs w:val="28"/>
        </w:rPr>
        <w:t>门，涵盖百年党史精神解读、中国共产党历史人物、新时代党建引领基层治理实践等内容，旨在提升青年人才的政治素养和思想觉悟，增强其对党的理论和精神的理解与认同。</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2.</w:t>
      </w:r>
      <w:r w:rsidRPr="00C456AB">
        <w:rPr>
          <w:rFonts w:ascii="Times New Roman" w:eastAsia="仿宋" w:hAnsi="仿宋" w:cs="Times New Roman"/>
          <w:sz w:val="28"/>
          <w:szCs w:val="28"/>
        </w:rPr>
        <w:t>通用类课程（不少于</w:t>
      </w:r>
      <w:r w:rsidRPr="00C456AB">
        <w:rPr>
          <w:rFonts w:ascii="Times New Roman" w:eastAsia="仿宋" w:hAnsi="仿宋" w:cs="Times New Roman"/>
          <w:sz w:val="28"/>
          <w:szCs w:val="28"/>
        </w:rPr>
        <w:t>50</w:t>
      </w:r>
      <w:r w:rsidRPr="00C456AB">
        <w:rPr>
          <w:rFonts w:ascii="Times New Roman" w:eastAsia="仿宋" w:hAnsi="仿宋" w:cs="Times New Roman"/>
          <w:sz w:val="28"/>
          <w:szCs w:val="28"/>
        </w:rPr>
        <w:t>门），聚焦各类青年人才、企事业单位</w:t>
      </w:r>
      <w:r w:rsidRPr="00C456AB">
        <w:rPr>
          <w:rFonts w:ascii="Times New Roman" w:eastAsia="仿宋" w:hAnsi="仿宋" w:cs="Times New Roman"/>
          <w:sz w:val="28"/>
          <w:szCs w:val="28"/>
        </w:rPr>
        <w:t>HR</w:t>
      </w:r>
      <w:r w:rsidRPr="00C456AB">
        <w:rPr>
          <w:rFonts w:ascii="Times New Roman" w:eastAsia="仿宋" w:hAnsi="仿宋" w:cs="Times New Roman"/>
          <w:sz w:val="28"/>
          <w:szCs w:val="28"/>
        </w:rPr>
        <w:t>的迫切需求和当下热门话题，课程内容包括但不限于：</w:t>
      </w:r>
      <w:r w:rsidRPr="00C456AB">
        <w:rPr>
          <w:rFonts w:ascii="Times New Roman" w:eastAsia="仿宋" w:hAnsi="仿宋" w:cs="Times New Roman"/>
          <w:sz w:val="28"/>
          <w:szCs w:val="28"/>
        </w:rPr>
        <w:t>AI</w:t>
      </w:r>
      <w:r w:rsidRPr="00C456AB">
        <w:rPr>
          <w:rFonts w:ascii="Times New Roman" w:eastAsia="仿宋" w:hAnsi="仿宋" w:cs="Times New Roman"/>
          <w:sz w:val="28"/>
          <w:szCs w:val="28"/>
        </w:rPr>
        <w:t>的基础认知与实操应用、人力资源前沿理论与实践、心理健康与压力管理、文化素养的提升、创新创业理论基础与案例分析、安全意识等主题。要求安全意识类课程围绕人身安全、网络安全、信息安全等主题，不少于</w:t>
      </w:r>
      <w:r w:rsidRPr="00C456AB">
        <w:rPr>
          <w:rFonts w:ascii="Times New Roman" w:eastAsia="仿宋" w:hAnsi="仿宋" w:cs="Times New Roman"/>
          <w:sz w:val="28"/>
          <w:szCs w:val="28"/>
        </w:rPr>
        <w:t>5</w:t>
      </w:r>
      <w:r w:rsidRPr="00C456AB">
        <w:rPr>
          <w:rFonts w:ascii="Times New Roman" w:eastAsia="仿宋" w:hAnsi="仿宋" w:cs="Times New Roman"/>
          <w:sz w:val="28"/>
          <w:szCs w:val="28"/>
        </w:rPr>
        <w:t>门，每门课程需提供配套的电子讲义以及至少</w:t>
      </w:r>
      <w:r w:rsidRPr="00C456AB">
        <w:rPr>
          <w:rFonts w:ascii="Times New Roman" w:eastAsia="仿宋" w:hAnsi="仿宋" w:cs="Times New Roman"/>
          <w:sz w:val="28"/>
          <w:szCs w:val="28"/>
        </w:rPr>
        <w:t>10</w:t>
      </w:r>
      <w:r w:rsidRPr="00C456AB">
        <w:rPr>
          <w:rFonts w:ascii="Times New Roman" w:eastAsia="仿宋" w:hAnsi="仿宋" w:cs="Times New Roman"/>
          <w:sz w:val="28"/>
          <w:szCs w:val="28"/>
        </w:rPr>
        <w:t>道练习题目，以巩固学习效果。</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（三）</w:t>
      </w:r>
      <w:r w:rsidRPr="00C456AB">
        <w:rPr>
          <w:rFonts w:ascii="Times New Roman" w:eastAsia="仿宋" w:hAnsi="仿宋" w:cs="Times New Roman"/>
          <w:sz w:val="28"/>
          <w:szCs w:val="28"/>
        </w:rPr>
        <w:t>课程质量：所有课程需是</w:t>
      </w:r>
      <w:r w:rsidRPr="00C456AB">
        <w:rPr>
          <w:rFonts w:ascii="Times New Roman" w:eastAsia="仿宋" w:hAnsi="仿宋" w:cs="Times New Roman"/>
          <w:sz w:val="28"/>
          <w:szCs w:val="28"/>
        </w:rPr>
        <w:t>2023</w:t>
      </w:r>
      <w:r w:rsidRPr="00C456AB">
        <w:rPr>
          <w:rFonts w:ascii="Times New Roman" w:eastAsia="仿宋" w:hAnsi="仿宋" w:cs="Times New Roman"/>
          <w:sz w:val="28"/>
          <w:szCs w:val="28"/>
        </w:rPr>
        <w:t>年（含）之后拍摄制作的；人力资源相关的课程，需达到一定的专业深度及行业前瞻性。</w:t>
      </w:r>
    </w:p>
    <w:p w:rsidR="00C456AB" w:rsidRPr="00C456AB"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（四）</w:t>
      </w:r>
      <w:r w:rsidRPr="00C456AB">
        <w:rPr>
          <w:rFonts w:ascii="Times New Roman" w:eastAsia="仿宋" w:hAnsi="仿宋" w:cs="Times New Roman"/>
          <w:sz w:val="28"/>
          <w:szCs w:val="28"/>
        </w:rPr>
        <w:t>课程形式：以真人讲解及</w:t>
      </w:r>
      <w:r w:rsidRPr="00C456AB">
        <w:rPr>
          <w:rFonts w:ascii="Times New Roman" w:eastAsia="仿宋" w:hAnsi="仿宋" w:cs="Times New Roman"/>
          <w:sz w:val="28"/>
          <w:szCs w:val="28"/>
        </w:rPr>
        <w:t>Flash</w:t>
      </w:r>
      <w:r w:rsidRPr="00C456AB">
        <w:rPr>
          <w:rFonts w:ascii="Times New Roman" w:eastAsia="仿宋" w:hAnsi="仿宋" w:cs="Times New Roman"/>
          <w:sz w:val="28"/>
          <w:szCs w:val="28"/>
        </w:rPr>
        <w:t>动画等多种形式展现。</w:t>
      </w:r>
    </w:p>
    <w:p w:rsidR="00B30794" w:rsidRDefault="00C456AB" w:rsidP="00C456AB">
      <w:pPr>
        <w:spacing w:line="560" w:lineRule="exact"/>
        <w:ind w:firstLineChars="200" w:firstLine="560"/>
        <w:rPr>
          <w:rFonts w:ascii="Times New Roman" w:eastAsia="仿宋" w:hAnsi="仿宋" w:cs="Times New Roman"/>
          <w:sz w:val="28"/>
          <w:szCs w:val="28"/>
        </w:rPr>
      </w:pPr>
      <w:r>
        <w:rPr>
          <w:rFonts w:ascii="Times New Roman" w:eastAsia="仿宋" w:hAnsi="仿宋" w:cs="Times New Roman" w:hint="eastAsia"/>
          <w:sz w:val="28"/>
          <w:szCs w:val="28"/>
        </w:rPr>
        <w:t>（五）</w:t>
      </w:r>
      <w:r w:rsidRPr="00C456AB">
        <w:rPr>
          <w:rFonts w:ascii="Times New Roman" w:eastAsia="仿宋" w:hAnsi="仿宋" w:cs="Times New Roman"/>
          <w:sz w:val="28"/>
          <w:szCs w:val="28"/>
        </w:rPr>
        <w:t>师资要求：国内知名企业高管、行业领域专家、培训行业优秀讲师、知名高校教授等。讲师必须有一定的行业知名度，其中项目总负责人需要具备培训或人力资源开发领域研究生以上学历，能够保证对项目提供相应的专业指导。</w:t>
      </w:r>
    </w:p>
    <w:p w:rsidR="00B30794" w:rsidRDefault="00C456AB">
      <w:pPr>
        <w:spacing w:line="560" w:lineRule="exact"/>
        <w:ind w:firstLineChars="200" w:firstLine="560"/>
        <w:rPr>
          <w:rFonts w:ascii="仿宋" w:eastAsia="仿宋" w:hAnsi="仿宋"/>
          <w:sz w:val="28"/>
          <w:szCs w:val="28"/>
        </w:rPr>
      </w:pPr>
      <w:r>
        <w:rPr>
          <w:rFonts w:ascii="Times New Roman" w:eastAsia="仿宋" w:hAnsi="仿宋" w:cs="Times New Roman" w:hint="eastAsia"/>
          <w:sz w:val="28"/>
          <w:szCs w:val="28"/>
        </w:rPr>
        <w:t>（六）</w:t>
      </w:r>
      <w:r w:rsidR="007B0B56">
        <w:rPr>
          <w:rFonts w:ascii="仿宋" w:eastAsia="仿宋" w:hAnsi="仿宋" w:hint="eastAsia"/>
          <w:sz w:val="28"/>
          <w:szCs w:val="28"/>
        </w:rPr>
        <w:t>课件技术标准</w:t>
      </w:r>
    </w:p>
    <w:tbl>
      <w:tblPr>
        <w:tblW w:w="8120" w:type="dxa"/>
        <w:tblLook w:val="04A0"/>
      </w:tblPr>
      <w:tblGrid>
        <w:gridCol w:w="1080"/>
        <w:gridCol w:w="1840"/>
        <w:gridCol w:w="3825"/>
        <w:gridCol w:w="1375"/>
      </w:tblGrid>
      <w:tr w:rsidR="00B30794">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序号</w:t>
            </w:r>
          </w:p>
        </w:tc>
        <w:tc>
          <w:tcPr>
            <w:tcW w:w="1840"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项目</w:t>
            </w: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技术标准</w:t>
            </w:r>
          </w:p>
        </w:tc>
        <w:tc>
          <w:tcPr>
            <w:tcW w:w="1375" w:type="dxa"/>
            <w:tcBorders>
              <w:top w:val="single" w:sz="4" w:space="0" w:color="auto"/>
              <w:left w:val="nil"/>
              <w:bottom w:val="single" w:sz="4" w:space="0" w:color="auto"/>
              <w:right w:val="single" w:sz="4" w:space="0" w:color="auto"/>
            </w:tcBorders>
            <w:shd w:val="clear" w:color="auto" w:fill="auto"/>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备注</w:t>
            </w:r>
          </w:p>
        </w:tc>
      </w:tr>
      <w:tr w:rsidR="00B30794">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1</w:t>
            </w:r>
          </w:p>
        </w:tc>
        <w:tc>
          <w:tcPr>
            <w:tcW w:w="1840"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大小</w:t>
            </w: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不超过</w:t>
            </w:r>
            <w:r>
              <w:rPr>
                <w:rFonts w:ascii="Times New Roman" w:eastAsia="仿宋" w:hAnsi="Times New Roman" w:cs="Times New Roman"/>
                <w:kern w:val="0"/>
                <w:sz w:val="24"/>
                <w:szCs w:val="24"/>
              </w:rPr>
              <w:t>1G</w:t>
            </w:r>
          </w:p>
        </w:tc>
        <w:tc>
          <w:tcPr>
            <w:tcW w:w="1375" w:type="dxa"/>
            <w:tcBorders>
              <w:top w:val="single" w:sz="4" w:space="0" w:color="auto"/>
              <w:left w:val="nil"/>
              <w:bottom w:val="single" w:sz="4" w:space="0" w:color="auto"/>
              <w:right w:val="single" w:sz="4" w:space="0" w:color="auto"/>
            </w:tcBorders>
            <w:shd w:val="clear" w:color="auto" w:fill="auto"/>
            <w:vAlign w:val="center"/>
          </w:tcPr>
          <w:p w:rsidR="00B30794" w:rsidRDefault="007B0B56">
            <w:pPr>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单个视频</w:t>
            </w:r>
          </w:p>
        </w:tc>
      </w:tr>
      <w:tr w:rsidR="00B30794">
        <w:trPr>
          <w:trHeight w:val="602"/>
        </w:trPr>
        <w:tc>
          <w:tcPr>
            <w:tcW w:w="1080" w:type="dxa"/>
            <w:tcBorders>
              <w:top w:val="nil"/>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2</w:t>
            </w:r>
          </w:p>
        </w:tc>
        <w:tc>
          <w:tcPr>
            <w:tcW w:w="1840"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格式</w:t>
            </w:r>
          </w:p>
        </w:tc>
        <w:tc>
          <w:tcPr>
            <w:tcW w:w="3825"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Times New Roman" w:cs="Times New Roman"/>
                <w:kern w:val="0"/>
                <w:sz w:val="24"/>
                <w:szCs w:val="24"/>
              </w:rPr>
              <w:t>MP4</w:t>
            </w:r>
          </w:p>
        </w:tc>
        <w:tc>
          <w:tcPr>
            <w:tcW w:w="1375" w:type="dxa"/>
            <w:tcBorders>
              <w:top w:val="nil"/>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rsidTr="007D589F">
        <w:trPr>
          <w:trHeight w:val="602"/>
        </w:trPr>
        <w:tc>
          <w:tcPr>
            <w:tcW w:w="1080" w:type="dxa"/>
            <w:tcBorders>
              <w:top w:val="nil"/>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3</w:t>
            </w:r>
          </w:p>
        </w:tc>
        <w:tc>
          <w:tcPr>
            <w:tcW w:w="1840"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hint="eastAsia"/>
                <w:kern w:val="0"/>
                <w:sz w:val="24"/>
                <w:szCs w:val="24"/>
              </w:rPr>
              <w:t>分辨率</w:t>
            </w:r>
          </w:p>
        </w:tc>
        <w:tc>
          <w:tcPr>
            <w:tcW w:w="3825"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Times New Roman" w:cs="Times New Roman"/>
                <w:kern w:val="0"/>
                <w:sz w:val="24"/>
                <w:szCs w:val="24"/>
              </w:rPr>
              <w:t>1920*1080</w:t>
            </w:r>
          </w:p>
        </w:tc>
        <w:tc>
          <w:tcPr>
            <w:tcW w:w="1375" w:type="dxa"/>
            <w:tcBorders>
              <w:top w:val="nil"/>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rsidTr="007D589F">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lastRenderedPageBreak/>
              <w:t>4</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码率</w:t>
            </w:r>
          </w:p>
        </w:tc>
        <w:tc>
          <w:tcPr>
            <w:tcW w:w="38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不低于</w:t>
            </w:r>
            <w:r>
              <w:rPr>
                <w:rFonts w:ascii="Times New Roman" w:eastAsia="仿宋" w:hAnsi="Times New Roman" w:cs="Times New Roman"/>
                <w:kern w:val="0"/>
                <w:sz w:val="24"/>
                <w:szCs w:val="24"/>
              </w:rPr>
              <w:t>800Kbps</w:t>
            </w:r>
          </w:p>
        </w:tc>
        <w:tc>
          <w:tcPr>
            <w:tcW w:w="1375" w:type="dxa"/>
            <w:tcBorders>
              <w:top w:val="single" w:sz="4" w:space="0" w:color="auto"/>
              <w:left w:val="single" w:sz="4" w:space="0" w:color="auto"/>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rsidTr="007D589F">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5</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字幕</w:t>
            </w: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正确率达</w:t>
            </w:r>
            <w:r>
              <w:rPr>
                <w:rFonts w:ascii="Times New Roman" w:eastAsia="仿宋" w:hAnsi="Times New Roman" w:cs="Times New Roman" w:hint="eastAsia"/>
                <w:kern w:val="0"/>
                <w:sz w:val="24"/>
                <w:szCs w:val="24"/>
              </w:rPr>
              <w:t>100</w:t>
            </w:r>
            <w:r>
              <w:rPr>
                <w:rFonts w:ascii="Times New Roman" w:eastAsia="仿宋" w:hAnsi="Times New Roman" w:cs="Times New Roman"/>
                <w:kern w:val="0"/>
                <w:sz w:val="24"/>
                <w:szCs w:val="24"/>
              </w:rPr>
              <w:t>%</w:t>
            </w:r>
          </w:p>
        </w:tc>
        <w:tc>
          <w:tcPr>
            <w:tcW w:w="1375" w:type="dxa"/>
            <w:tcBorders>
              <w:top w:val="single" w:sz="4" w:space="0" w:color="auto"/>
              <w:left w:val="nil"/>
              <w:bottom w:val="single" w:sz="4" w:space="0" w:color="auto"/>
              <w:right w:val="single" w:sz="4" w:space="0" w:color="auto"/>
            </w:tcBorders>
            <w:shd w:val="clear" w:color="auto" w:fill="auto"/>
            <w:vAlign w:val="center"/>
          </w:tcPr>
          <w:p w:rsidR="00B30794" w:rsidRDefault="00B30794">
            <w:pPr>
              <w:widowControl/>
              <w:spacing w:line="560" w:lineRule="exact"/>
              <w:jc w:val="center"/>
              <w:rPr>
                <w:rFonts w:ascii="Times New Roman" w:eastAsia="仿宋" w:hAnsi="Times New Roman" w:cs="Times New Roman"/>
                <w:kern w:val="0"/>
                <w:sz w:val="24"/>
                <w:szCs w:val="24"/>
              </w:rPr>
            </w:pPr>
          </w:p>
        </w:tc>
      </w:tr>
      <w:tr w:rsidR="00B30794">
        <w:trPr>
          <w:trHeight w:val="602"/>
        </w:trPr>
        <w:tc>
          <w:tcPr>
            <w:tcW w:w="1080" w:type="dxa"/>
            <w:tcBorders>
              <w:top w:val="nil"/>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6</w:t>
            </w:r>
          </w:p>
        </w:tc>
        <w:tc>
          <w:tcPr>
            <w:tcW w:w="1840" w:type="dxa"/>
            <w:vMerge w:val="restart"/>
            <w:tcBorders>
              <w:top w:val="single" w:sz="4" w:space="0" w:color="auto"/>
              <w:left w:val="single" w:sz="4" w:space="0" w:color="auto"/>
              <w:bottom w:val="single" w:sz="4" w:space="0" w:color="auto"/>
              <w:right w:val="single" w:sz="4" w:space="0" w:color="auto"/>
            </w:tcBorders>
            <w:vAlign w:val="center"/>
          </w:tcPr>
          <w:p w:rsidR="00B30794" w:rsidRDefault="007B0B56">
            <w:pPr>
              <w:spacing w:line="560" w:lineRule="exact"/>
              <w:jc w:val="center"/>
              <w:rPr>
                <w:rFonts w:ascii="Times New Roman" w:eastAsia="仿宋" w:hAnsi="Times New Roman" w:cs="Times New Roman"/>
                <w:kern w:val="0"/>
                <w:sz w:val="24"/>
                <w:szCs w:val="24"/>
              </w:rPr>
            </w:pPr>
            <w:r>
              <w:rPr>
                <w:rFonts w:ascii="Times New Roman" w:eastAsia="仿宋" w:hAnsi="仿宋" w:cs="Times New Roman"/>
                <w:kern w:val="0"/>
                <w:sz w:val="24"/>
                <w:szCs w:val="24"/>
              </w:rPr>
              <w:t>质量</w:t>
            </w:r>
          </w:p>
        </w:tc>
        <w:tc>
          <w:tcPr>
            <w:tcW w:w="3825"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人像清晰、色调自然、嘈杂声少</w:t>
            </w:r>
          </w:p>
        </w:tc>
        <w:tc>
          <w:tcPr>
            <w:tcW w:w="1375" w:type="dxa"/>
            <w:tcBorders>
              <w:top w:val="nil"/>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7</w:t>
            </w:r>
          </w:p>
        </w:tc>
        <w:tc>
          <w:tcPr>
            <w:tcW w:w="1840" w:type="dxa"/>
            <w:vMerge/>
            <w:tcBorders>
              <w:top w:val="single" w:sz="4" w:space="0" w:color="auto"/>
              <w:left w:val="single" w:sz="4" w:space="0" w:color="auto"/>
              <w:bottom w:val="single" w:sz="4" w:space="0" w:color="auto"/>
              <w:right w:val="single" w:sz="4" w:space="0" w:color="auto"/>
            </w:tcBorders>
            <w:vAlign w:val="center"/>
          </w:tcPr>
          <w:p w:rsidR="00B30794" w:rsidRDefault="00B30794">
            <w:pPr>
              <w:widowControl/>
              <w:spacing w:line="560" w:lineRule="exact"/>
              <w:jc w:val="left"/>
              <w:rPr>
                <w:rFonts w:ascii="Times New Roman" w:eastAsia="仿宋" w:hAnsi="Times New Roman" w:cs="Times New Roman"/>
                <w:kern w:val="0"/>
                <w:sz w:val="24"/>
                <w:szCs w:val="24"/>
              </w:rPr>
            </w:pP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章节名称清晰明确、内容完整</w:t>
            </w:r>
          </w:p>
        </w:tc>
        <w:tc>
          <w:tcPr>
            <w:tcW w:w="1375" w:type="dxa"/>
            <w:tcBorders>
              <w:top w:val="single" w:sz="4" w:space="0" w:color="auto"/>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8</w:t>
            </w:r>
          </w:p>
        </w:tc>
        <w:tc>
          <w:tcPr>
            <w:tcW w:w="1840" w:type="dxa"/>
            <w:vMerge/>
            <w:tcBorders>
              <w:top w:val="single" w:sz="4" w:space="0" w:color="auto"/>
              <w:left w:val="single" w:sz="4" w:space="0" w:color="auto"/>
              <w:bottom w:val="single" w:sz="4" w:space="0" w:color="auto"/>
              <w:right w:val="single" w:sz="4" w:space="0" w:color="auto"/>
            </w:tcBorders>
            <w:vAlign w:val="center"/>
          </w:tcPr>
          <w:p w:rsidR="00B30794" w:rsidRDefault="00B30794">
            <w:pPr>
              <w:widowControl/>
              <w:spacing w:line="560" w:lineRule="exact"/>
              <w:jc w:val="left"/>
              <w:rPr>
                <w:rFonts w:ascii="Times New Roman" w:eastAsia="仿宋" w:hAnsi="Times New Roman" w:cs="Times New Roman"/>
                <w:kern w:val="0"/>
                <w:sz w:val="24"/>
                <w:szCs w:val="24"/>
              </w:rPr>
            </w:pP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无黑屏或闪屏</w:t>
            </w:r>
          </w:p>
        </w:tc>
        <w:tc>
          <w:tcPr>
            <w:tcW w:w="1375" w:type="dxa"/>
            <w:tcBorders>
              <w:top w:val="single" w:sz="4" w:space="0" w:color="auto"/>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trPr>
          <w:trHeight w:val="602"/>
        </w:trPr>
        <w:tc>
          <w:tcPr>
            <w:tcW w:w="1080" w:type="dxa"/>
            <w:tcBorders>
              <w:top w:val="nil"/>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9</w:t>
            </w:r>
          </w:p>
        </w:tc>
        <w:tc>
          <w:tcPr>
            <w:tcW w:w="1840" w:type="dxa"/>
            <w:vMerge/>
            <w:tcBorders>
              <w:top w:val="nil"/>
              <w:left w:val="single" w:sz="4" w:space="0" w:color="auto"/>
              <w:bottom w:val="single" w:sz="4" w:space="0" w:color="auto"/>
              <w:right w:val="single" w:sz="4" w:space="0" w:color="auto"/>
            </w:tcBorders>
            <w:vAlign w:val="center"/>
          </w:tcPr>
          <w:p w:rsidR="00B30794" w:rsidRDefault="00B30794">
            <w:pPr>
              <w:widowControl/>
              <w:spacing w:line="560" w:lineRule="exact"/>
              <w:jc w:val="left"/>
              <w:rPr>
                <w:rFonts w:ascii="Times New Roman" w:eastAsia="仿宋" w:hAnsi="Times New Roman" w:cs="Times New Roman"/>
                <w:kern w:val="0"/>
                <w:sz w:val="24"/>
                <w:szCs w:val="24"/>
              </w:rPr>
            </w:pPr>
          </w:p>
        </w:tc>
        <w:tc>
          <w:tcPr>
            <w:tcW w:w="3825" w:type="dxa"/>
            <w:tcBorders>
              <w:top w:val="nil"/>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片头、片尾完整无误</w:t>
            </w:r>
          </w:p>
        </w:tc>
        <w:tc>
          <w:tcPr>
            <w:tcW w:w="1375" w:type="dxa"/>
            <w:tcBorders>
              <w:top w:val="nil"/>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r w:rsidR="00B30794">
        <w:trPr>
          <w:trHeight w:val="602"/>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30794" w:rsidRDefault="007B0B56">
            <w:pPr>
              <w:widowControl/>
              <w:spacing w:line="560" w:lineRule="exact"/>
              <w:jc w:val="center"/>
              <w:rPr>
                <w:rFonts w:ascii="Times New Roman" w:eastAsia="仿宋" w:hAnsi="Times New Roman" w:cs="Times New Roman"/>
                <w:kern w:val="0"/>
                <w:sz w:val="24"/>
                <w:szCs w:val="24"/>
              </w:rPr>
            </w:pPr>
            <w:r>
              <w:rPr>
                <w:rFonts w:ascii="Times New Roman" w:eastAsia="仿宋" w:hAnsi="Times New Roman" w:cs="Times New Roman"/>
                <w:kern w:val="0"/>
                <w:sz w:val="24"/>
                <w:szCs w:val="24"/>
              </w:rPr>
              <w:t>10</w:t>
            </w:r>
          </w:p>
        </w:tc>
        <w:tc>
          <w:tcPr>
            <w:tcW w:w="1840" w:type="dxa"/>
            <w:vMerge/>
            <w:tcBorders>
              <w:top w:val="single" w:sz="4" w:space="0" w:color="auto"/>
              <w:left w:val="single" w:sz="4" w:space="0" w:color="auto"/>
              <w:bottom w:val="single" w:sz="4" w:space="0" w:color="auto"/>
              <w:right w:val="single" w:sz="4" w:space="0" w:color="auto"/>
            </w:tcBorders>
            <w:vAlign w:val="center"/>
          </w:tcPr>
          <w:p w:rsidR="00B30794" w:rsidRDefault="00B30794">
            <w:pPr>
              <w:widowControl/>
              <w:spacing w:line="560" w:lineRule="exact"/>
              <w:jc w:val="left"/>
              <w:rPr>
                <w:rFonts w:ascii="Times New Roman" w:eastAsia="仿宋" w:hAnsi="Times New Roman" w:cs="Times New Roman"/>
                <w:kern w:val="0"/>
                <w:sz w:val="24"/>
                <w:szCs w:val="24"/>
              </w:rPr>
            </w:pPr>
          </w:p>
        </w:tc>
        <w:tc>
          <w:tcPr>
            <w:tcW w:w="3825" w:type="dxa"/>
            <w:tcBorders>
              <w:top w:val="single" w:sz="4" w:space="0" w:color="auto"/>
              <w:left w:val="nil"/>
              <w:bottom w:val="single" w:sz="4" w:space="0" w:color="auto"/>
              <w:right w:val="single" w:sz="4" w:space="0" w:color="auto"/>
            </w:tcBorders>
            <w:shd w:val="clear" w:color="auto" w:fill="auto"/>
            <w:noWrap/>
            <w:vAlign w:val="center"/>
          </w:tcPr>
          <w:p w:rsidR="00B30794" w:rsidRDefault="007B0B56">
            <w:pPr>
              <w:widowControl/>
              <w:spacing w:line="560" w:lineRule="exact"/>
              <w:jc w:val="left"/>
              <w:rPr>
                <w:rFonts w:ascii="Times New Roman" w:eastAsia="仿宋" w:hAnsi="Times New Roman" w:cs="Times New Roman"/>
                <w:kern w:val="0"/>
                <w:sz w:val="24"/>
                <w:szCs w:val="24"/>
              </w:rPr>
            </w:pPr>
            <w:r>
              <w:rPr>
                <w:rFonts w:ascii="Times New Roman" w:eastAsia="仿宋" w:hAnsi="仿宋" w:cs="Times New Roman"/>
                <w:kern w:val="0"/>
                <w:sz w:val="24"/>
                <w:szCs w:val="24"/>
              </w:rPr>
              <w:t>整体无返修</w:t>
            </w:r>
          </w:p>
        </w:tc>
        <w:tc>
          <w:tcPr>
            <w:tcW w:w="1375" w:type="dxa"/>
            <w:tcBorders>
              <w:top w:val="nil"/>
              <w:left w:val="nil"/>
              <w:bottom w:val="single" w:sz="4" w:space="0" w:color="auto"/>
              <w:right w:val="single" w:sz="4" w:space="0" w:color="auto"/>
            </w:tcBorders>
            <w:shd w:val="clear" w:color="auto" w:fill="auto"/>
            <w:vAlign w:val="center"/>
          </w:tcPr>
          <w:p w:rsidR="00B30794" w:rsidRDefault="00B30794">
            <w:pPr>
              <w:widowControl/>
              <w:spacing w:line="560" w:lineRule="exact"/>
              <w:jc w:val="left"/>
              <w:rPr>
                <w:rFonts w:ascii="Times New Roman" w:eastAsia="仿宋" w:hAnsi="Times New Roman" w:cs="Times New Roman"/>
                <w:kern w:val="0"/>
                <w:sz w:val="24"/>
                <w:szCs w:val="24"/>
              </w:rPr>
            </w:pPr>
          </w:p>
        </w:tc>
      </w:tr>
    </w:tbl>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（七）配套服务：有相关课程开发的经历，能够准确把握项目需求，提供高效服务；及时响应，有任何需求，</w:t>
      </w:r>
      <w:r>
        <w:rPr>
          <w:rFonts w:ascii="Times New Roman" w:eastAsia="仿宋" w:hAnsi="仿宋" w:cs="Times New Roman"/>
          <w:sz w:val="28"/>
          <w:szCs w:val="28"/>
        </w:rPr>
        <w:t>能够在</w:t>
      </w:r>
      <w:r>
        <w:rPr>
          <w:rFonts w:ascii="Times New Roman" w:eastAsia="仿宋" w:hAnsi="Times New Roman" w:cs="Times New Roman"/>
          <w:sz w:val="28"/>
          <w:szCs w:val="28"/>
        </w:rPr>
        <w:t>2</w:t>
      </w:r>
      <w:r>
        <w:rPr>
          <w:rFonts w:ascii="Times New Roman" w:eastAsia="仿宋" w:hAnsi="仿宋" w:cs="Times New Roman"/>
          <w:sz w:val="28"/>
          <w:szCs w:val="28"/>
        </w:rPr>
        <w:t>小时内</w:t>
      </w:r>
      <w:r>
        <w:rPr>
          <w:rFonts w:ascii="仿宋" w:eastAsia="仿宋" w:hAnsi="仿宋"/>
          <w:sz w:val="28"/>
          <w:szCs w:val="28"/>
        </w:rPr>
        <w:t>及时响应线下沟通和服务的需求等。</w:t>
      </w:r>
    </w:p>
    <w:p w:rsidR="00B30794" w:rsidRDefault="007B0B56">
      <w:pPr>
        <w:spacing w:line="560" w:lineRule="exact"/>
        <w:ind w:firstLineChars="200" w:firstLine="562"/>
        <w:rPr>
          <w:rFonts w:ascii="仿宋" w:eastAsia="仿宋" w:hAnsi="仿宋"/>
          <w:b/>
          <w:sz w:val="28"/>
          <w:szCs w:val="28"/>
        </w:rPr>
      </w:pPr>
      <w:r>
        <w:rPr>
          <w:rFonts w:ascii="仿宋" w:eastAsia="仿宋" w:hAnsi="仿宋" w:hint="eastAsia"/>
          <w:b/>
          <w:sz w:val="28"/>
          <w:szCs w:val="28"/>
        </w:rPr>
        <w:t>四、项目方案要求</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投标人应根据采购要求</w:t>
      </w:r>
      <w:r>
        <w:rPr>
          <w:rFonts w:ascii="仿宋" w:eastAsia="仿宋" w:hAnsi="仿宋"/>
          <w:sz w:val="28"/>
          <w:szCs w:val="28"/>
        </w:rPr>
        <w:t>按以下顺序编制完整的项目方案，以便评审。</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（一）</w:t>
      </w:r>
      <w:r>
        <w:rPr>
          <w:rFonts w:ascii="仿宋" w:eastAsia="仿宋" w:hAnsi="仿宋"/>
          <w:sz w:val="28"/>
          <w:szCs w:val="28"/>
        </w:rPr>
        <w:t>课程内容：</w:t>
      </w:r>
      <w:r>
        <w:rPr>
          <w:rFonts w:ascii="仿宋" w:eastAsia="仿宋" w:hAnsi="仿宋" w:hint="eastAsia"/>
          <w:sz w:val="28"/>
          <w:szCs w:val="28"/>
        </w:rPr>
        <w:t>包含课程大纲，</w:t>
      </w:r>
      <w:r>
        <w:rPr>
          <w:rFonts w:ascii="仿宋" w:eastAsia="仿宋" w:hAnsi="仿宋"/>
          <w:sz w:val="28"/>
          <w:szCs w:val="28"/>
        </w:rPr>
        <w:t>有明确的预期目标及整体设想；课程契合主题要求，内容丰富，</w:t>
      </w:r>
      <w:r>
        <w:rPr>
          <w:rFonts w:ascii="仿宋" w:eastAsia="仿宋" w:hAnsi="仿宋" w:hint="eastAsia"/>
          <w:sz w:val="28"/>
          <w:szCs w:val="28"/>
        </w:rPr>
        <w:t>质量优良，</w:t>
      </w:r>
      <w:r>
        <w:rPr>
          <w:rFonts w:ascii="仿宋" w:eastAsia="仿宋" w:hAnsi="仿宋"/>
          <w:sz w:val="28"/>
          <w:szCs w:val="28"/>
        </w:rPr>
        <w:t>课时数</w:t>
      </w:r>
      <w:r>
        <w:rPr>
          <w:rFonts w:ascii="仿宋" w:eastAsia="仿宋" w:hAnsi="仿宋" w:hint="eastAsia"/>
          <w:sz w:val="28"/>
          <w:szCs w:val="28"/>
        </w:rPr>
        <w:t>充足</w:t>
      </w:r>
      <w:r>
        <w:rPr>
          <w:rFonts w:ascii="仿宋" w:eastAsia="仿宋" w:hAnsi="仿宋"/>
          <w:sz w:val="28"/>
          <w:szCs w:val="28"/>
        </w:rPr>
        <w:t>。</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（二）</w:t>
      </w:r>
      <w:r>
        <w:rPr>
          <w:rFonts w:ascii="仿宋" w:eastAsia="仿宋" w:hAnsi="仿宋"/>
          <w:sz w:val="28"/>
          <w:szCs w:val="28"/>
        </w:rPr>
        <w:t>师资配置：师资符合招标需求，有完备的简历介绍，相关领域从业及授课经验丰富。</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（三）技术水平：能提供以往相关案例，或其他体现课件制作技术水平的材料。</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（四）</w:t>
      </w:r>
      <w:r>
        <w:rPr>
          <w:rFonts w:ascii="仿宋" w:eastAsia="仿宋" w:hAnsi="仿宋"/>
          <w:sz w:val="28"/>
          <w:szCs w:val="28"/>
        </w:rPr>
        <w:t>服务配套：提供完善的服务配套</w:t>
      </w:r>
      <w:r>
        <w:rPr>
          <w:rFonts w:ascii="仿宋" w:eastAsia="仿宋" w:hAnsi="仿宋" w:hint="eastAsia"/>
          <w:sz w:val="28"/>
          <w:szCs w:val="28"/>
        </w:rPr>
        <w:t>，</w:t>
      </w:r>
      <w:r>
        <w:rPr>
          <w:rFonts w:ascii="仿宋" w:eastAsia="仿宋" w:hAnsi="仿宋"/>
          <w:sz w:val="28"/>
          <w:szCs w:val="28"/>
        </w:rPr>
        <w:t>包括</w:t>
      </w:r>
      <w:r>
        <w:rPr>
          <w:rFonts w:ascii="仿宋" w:eastAsia="仿宋" w:hAnsi="仿宋" w:hint="eastAsia"/>
          <w:sz w:val="28"/>
          <w:szCs w:val="28"/>
        </w:rPr>
        <w:t>本地化服务、对课程的后续修改及更新</w:t>
      </w:r>
      <w:r>
        <w:rPr>
          <w:rFonts w:ascii="仿宋" w:eastAsia="仿宋" w:hAnsi="仿宋"/>
          <w:sz w:val="28"/>
          <w:szCs w:val="28"/>
        </w:rPr>
        <w:t>等。</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（五）</w:t>
      </w:r>
      <w:r>
        <w:rPr>
          <w:rFonts w:ascii="仿宋" w:eastAsia="仿宋" w:hAnsi="仿宋"/>
          <w:sz w:val="28"/>
          <w:szCs w:val="28"/>
        </w:rPr>
        <w:t>其它投标人认为需要补充的内容。</w:t>
      </w:r>
    </w:p>
    <w:p w:rsidR="00B30794" w:rsidRDefault="007B0B56">
      <w:pPr>
        <w:spacing w:line="560" w:lineRule="exact"/>
        <w:ind w:firstLineChars="196" w:firstLine="551"/>
        <w:rPr>
          <w:rFonts w:ascii="仿宋" w:eastAsia="仿宋" w:hAnsi="仿宋"/>
          <w:b/>
          <w:sz w:val="28"/>
          <w:szCs w:val="28"/>
        </w:rPr>
      </w:pPr>
      <w:r>
        <w:rPr>
          <w:rFonts w:ascii="仿宋" w:eastAsia="仿宋" w:hAnsi="仿宋" w:hint="eastAsia"/>
          <w:b/>
          <w:sz w:val="28"/>
          <w:szCs w:val="28"/>
        </w:rPr>
        <w:t>五、其他说明</w:t>
      </w:r>
    </w:p>
    <w:p w:rsidR="00B30794" w:rsidRDefault="007B0B56">
      <w:pPr>
        <w:spacing w:line="560" w:lineRule="exact"/>
        <w:ind w:firstLineChars="200" w:firstLine="560"/>
        <w:rPr>
          <w:rFonts w:ascii="仿宋" w:eastAsia="仿宋" w:hAnsi="仿宋"/>
          <w:sz w:val="28"/>
          <w:szCs w:val="28"/>
        </w:rPr>
      </w:pPr>
      <w:r>
        <w:rPr>
          <w:rFonts w:ascii="仿宋" w:eastAsia="仿宋" w:hAnsi="仿宋" w:hint="eastAsia"/>
          <w:sz w:val="28"/>
          <w:szCs w:val="28"/>
        </w:rPr>
        <w:t>（一）</w:t>
      </w:r>
      <w:r>
        <w:rPr>
          <w:rFonts w:ascii="Times New Roman" w:eastAsia="方正仿宋_GBK" w:hAnsi="Times New Roman" w:cs="Times New Roman"/>
          <w:sz w:val="28"/>
          <w:szCs w:val="28"/>
        </w:rPr>
        <w:t>本项目总报价包括服务项目从成交起到项目服务实施及服</w:t>
      </w:r>
      <w:r>
        <w:rPr>
          <w:rFonts w:ascii="Times New Roman" w:eastAsia="方正仿宋_GBK" w:hAnsi="Times New Roman" w:cs="Times New Roman"/>
          <w:sz w:val="28"/>
          <w:szCs w:val="28"/>
        </w:rPr>
        <w:lastRenderedPageBreak/>
        <w:t>务期限内所发生的一切费用，费用总价不应超过</w:t>
      </w:r>
      <w:r w:rsidR="008B5A81">
        <w:rPr>
          <w:rFonts w:ascii="Times New Roman" w:eastAsia="方正仿宋_GBK" w:hAnsi="Times New Roman" w:cs="Times New Roman" w:hint="eastAsia"/>
          <w:sz w:val="28"/>
          <w:szCs w:val="28"/>
        </w:rPr>
        <w:t>11</w:t>
      </w:r>
      <w:r>
        <w:rPr>
          <w:rFonts w:ascii="Times New Roman" w:eastAsia="方正仿宋_GBK" w:hAnsi="Times New Roman" w:cs="Times New Roman"/>
          <w:sz w:val="28"/>
          <w:szCs w:val="28"/>
        </w:rPr>
        <w:t>万元人民币</w:t>
      </w:r>
      <w:r>
        <w:rPr>
          <w:rFonts w:ascii="Times New Roman" w:eastAsia="方正仿宋_GBK" w:hAnsi="Times New Roman" w:cs="Times New Roman" w:hint="eastAsia"/>
          <w:sz w:val="28"/>
          <w:szCs w:val="28"/>
        </w:rPr>
        <w:t>，若超过则作废标处理</w:t>
      </w:r>
      <w:r>
        <w:rPr>
          <w:rFonts w:ascii="Times New Roman" w:eastAsia="方正仿宋_GBK" w:hAnsi="Times New Roman" w:cs="Times New Roman"/>
          <w:sz w:val="28"/>
          <w:szCs w:val="28"/>
        </w:rPr>
        <w:t>。</w:t>
      </w:r>
      <w:bookmarkStart w:id="0" w:name="_GoBack"/>
      <w:bookmarkEnd w:id="0"/>
    </w:p>
    <w:p w:rsidR="00B30794" w:rsidRDefault="007B0B56">
      <w:pPr>
        <w:spacing w:line="560" w:lineRule="exact"/>
        <w:ind w:firstLineChars="200" w:firstLine="560"/>
        <w:rPr>
          <w:rFonts w:ascii="Times New Roman" w:eastAsia="仿宋" w:hAnsi="Times New Roman" w:cs="Times New Roman"/>
          <w:sz w:val="28"/>
          <w:szCs w:val="28"/>
        </w:rPr>
      </w:pPr>
      <w:r>
        <w:rPr>
          <w:rFonts w:ascii="Times New Roman" w:eastAsia="仿宋" w:hAnsi="仿宋" w:cs="Times New Roman"/>
          <w:sz w:val="28"/>
          <w:szCs w:val="28"/>
        </w:rPr>
        <w:t>（二）费用支付周期：分两期支付；第一期为合同签订后按中标价的</w:t>
      </w:r>
      <w:r>
        <w:rPr>
          <w:rFonts w:ascii="Times New Roman" w:eastAsia="仿宋" w:hAnsi="Times New Roman" w:cs="Times New Roman" w:hint="eastAsia"/>
          <w:sz w:val="28"/>
          <w:szCs w:val="28"/>
        </w:rPr>
        <w:t>40</w:t>
      </w:r>
      <w:r>
        <w:rPr>
          <w:rFonts w:ascii="Times New Roman" w:eastAsia="仿宋" w:hAnsi="Times New Roman" w:cs="Times New Roman"/>
          <w:sz w:val="28"/>
          <w:szCs w:val="28"/>
        </w:rPr>
        <w:t>%</w:t>
      </w:r>
      <w:r>
        <w:rPr>
          <w:rFonts w:ascii="Times New Roman" w:eastAsia="仿宋" w:hAnsi="仿宋" w:cs="Times New Roman"/>
          <w:sz w:val="28"/>
          <w:szCs w:val="28"/>
        </w:rPr>
        <w:t>支付，第二期为合同履行完毕并经采购方验收合格后再支付中标价的</w:t>
      </w:r>
      <w:r>
        <w:rPr>
          <w:rFonts w:ascii="Times New Roman" w:eastAsia="仿宋" w:hAnsi="Times New Roman" w:cs="Times New Roman" w:hint="eastAsia"/>
          <w:sz w:val="28"/>
          <w:szCs w:val="28"/>
        </w:rPr>
        <w:t>60</w:t>
      </w:r>
      <w:r>
        <w:rPr>
          <w:rFonts w:ascii="Times New Roman" w:eastAsia="仿宋" w:hAnsi="Times New Roman" w:cs="Times New Roman"/>
          <w:sz w:val="28"/>
          <w:szCs w:val="28"/>
        </w:rPr>
        <w:t>%</w:t>
      </w:r>
      <w:r>
        <w:rPr>
          <w:rFonts w:ascii="Times New Roman" w:eastAsia="仿宋" w:hAnsi="仿宋" w:cs="Times New Roman"/>
          <w:sz w:val="28"/>
          <w:szCs w:val="28"/>
        </w:rPr>
        <w:t>。</w:t>
      </w:r>
    </w:p>
    <w:p w:rsidR="00B30794" w:rsidRDefault="007B0B56">
      <w:pPr>
        <w:spacing w:line="560" w:lineRule="exact"/>
        <w:ind w:firstLineChars="200" w:firstLine="560"/>
        <w:rPr>
          <w:rFonts w:ascii="Times New Roman" w:eastAsia="仿宋" w:hAnsi="Times New Roman" w:cs="Times New Roman"/>
          <w:sz w:val="28"/>
          <w:szCs w:val="28"/>
        </w:rPr>
      </w:pPr>
      <w:r>
        <w:rPr>
          <w:rFonts w:ascii="Times New Roman" w:eastAsia="仿宋" w:hAnsi="仿宋" w:cs="Times New Roman"/>
          <w:sz w:val="28"/>
          <w:szCs w:val="28"/>
        </w:rPr>
        <w:t>（三）如中标单位弃权，则按招标打分名次依次递补。</w:t>
      </w:r>
    </w:p>
    <w:p w:rsidR="00B30794" w:rsidRDefault="007B0B56">
      <w:pPr>
        <w:spacing w:line="560" w:lineRule="exact"/>
        <w:ind w:firstLineChars="200" w:firstLine="560"/>
        <w:rPr>
          <w:rFonts w:ascii="Times New Roman" w:eastAsia="仿宋" w:hAnsi="Times New Roman" w:cs="Times New Roman"/>
          <w:sz w:val="28"/>
          <w:szCs w:val="28"/>
        </w:rPr>
      </w:pPr>
      <w:r>
        <w:rPr>
          <w:rFonts w:ascii="Times New Roman" w:eastAsia="仿宋" w:hAnsi="仿宋" w:cs="Times New Roman"/>
          <w:sz w:val="28"/>
          <w:szCs w:val="28"/>
        </w:rPr>
        <w:t>（</w:t>
      </w:r>
      <w:r>
        <w:rPr>
          <w:rFonts w:ascii="Times New Roman" w:eastAsia="仿宋" w:hAnsi="仿宋" w:cs="Times New Roman" w:hint="eastAsia"/>
          <w:sz w:val="28"/>
          <w:szCs w:val="28"/>
        </w:rPr>
        <w:t>四</w:t>
      </w:r>
      <w:r>
        <w:rPr>
          <w:rFonts w:ascii="Times New Roman" w:eastAsia="仿宋" w:hAnsi="仿宋" w:cs="Times New Roman"/>
          <w:sz w:val="28"/>
          <w:szCs w:val="28"/>
        </w:rPr>
        <w:t>）招标人根据国家有关规定、采购文件、成交方的响应文件以及合同约定的内容和验收标准进行验收。</w:t>
      </w:r>
    </w:p>
    <w:p w:rsidR="00B30794" w:rsidRDefault="00B30794">
      <w:pPr>
        <w:spacing w:line="560" w:lineRule="exact"/>
        <w:ind w:firstLineChars="200" w:firstLine="560"/>
        <w:rPr>
          <w:rFonts w:ascii="Times New Roman" w:eastAsia="仿宋" w:hAnsi="Times New Roman" w:cs="Times New Roman"/>
          <w:sz w:val="28"/>
          <w:szCs w:val="28"/>
        </w:rPr>
      </w:pPr>
    </w:p>
    <w:p w:rsidR="00B30794" w:rsidRDefault="00B30794">
      <w:pPr>
        <w:spacing w:line="560" w:lineRule="exact"/>
        <w:ind w:firstLineChars="200" w:firstLine="560"/>
        <w:rPr>
          <w:rFonts w:ascii="Times New Roman" w:eastAsia="仿宋" w:hAnsi="Times New Roman" w:cs="Times New Roman"/>
          <w:sz w:val="28"/>
          <w:szCs w:val="28"/>
        </w:rPr>
      </w:pPr>
    </w:p>
    <w:p w:rsidR="00B30794" w:rsidRDefault="007B0B56">
      <w:pPr>
        <w:spacing w:line="560" w:lineRule="exact"/>
        <w:jc w:val="right"/>
        <w:rPr>
          <w:rFonts w:ascii="Times New Roman" w:eastAsia="仿宋" w:hAnsi="Times New Roman" w:cs="Times New Roman"/>
          <w:sz w:val="28"/>
          <w:szCs w:val="28"/>
        </w:rPr>
      </w:pPr>
      <w:r>
        <w:rPr>
          <w:rFonts w:ascii="Times New Roman" w:eastAsia="仿宋" w:hAnsi="仿宋" w:cs="Times New Roman"/>
          <w:sz w:val="28"/>
          <w:szCs w:val="28"/>
        </w:rPr>
        <w:t>无锡市人才服务中心</w:t>
      </w:r>
    </w:p>
    <w:p w:rsidR="00B30794" w:rsidRDefault="007B0B56">
      <w:pPr>
        <w:spacing w:line="560" w:lineRule="exact"/>
        <w:ind w:right="140"/>
        <w:jc w:val="right"/>
        <w:rPr>
          <w:rFonts w:ascii="Times New Roman" w:eastAsia="仿宋" w:hAnsi="Times New Roman" w:cs="Times New Roman"/>
          <w:sz w:val="28"/>
          <w:szCs w:val="28"/>
        </w:rPr>
      </w:pPr>
      <w:r>
        <w:rPr>
          <w:rFonts w:ascii="Times New Roman" w:eastAsia="仿宋" w:hAnsi="Times New Roman" w:cs="Times New Roman"/>
          <w:sz w:val="28"/>
          <w:szCs w:val="28"/>
        </w:rPr>
        <w:t>202</w:t>
      </w:r>
      <w:r w:rsidR="008B5A81">
        <w:rPr>
          <w:rFonts w:ascii="Times New Roman" w:eastAsia="仿宋" w:hAnsi="Times New Roman" w:cs="Times New Roman" w:hint="eastAsia"/>
          <w:sz w:val="28"/>
          <w:szCs w:val="28"/>
        </w:rPr>
        <w:t>5</w:t>
      </w:r>
      <w:r>
        <w:rPr>
          <w:rFonts w:ascii="Times New Roman" w:eastAsia="仿宋" w:hAnsi="仿宋" w:cs="Times New Roman"/>
          <w:sz w:val="28"/>
          <w:szCs w:val="28"/>
        </w:rPr>
        <w:t>年</w:t>
      </w:r>
      <w:r w:rsidR="008B5A81">
        <w:rPr>
          <w:rFonts w:ascii="Times New Roman" w:eastAsia="仿宋" w:hAnsi="Times New Roman" w:cs="Times New Roman" w:hint="eastAsia"/>
          <w:sz w:val="28"/>
          <w:szCs w:val="28"/>
        </w:rPr>
        <w:t>3</w:t>
      </w:r>
      <w:r>
        <w:rPr>
          <w:rFonts w:ascii="Times New Roman" w:eastAsia="仿宋" w:hAnsi="仿宋" w:cs="Times New Roman"/>
          <w:sz w:val="28"/>
          <w:szCs w:val="28"/>
        </w:rPr>
        <w:t>月</w:t>
      </w:r>
      <w:r w:rsidR="008B5A81">
        <w:rPr>
          <w:rFonts w:ascii="Times New Roman" w:eastAsia="仿宋" w:hAnsi="Times New Roman" w:cs="Times New Roman" w:hint="eastAsia"/>
          <w:sz w:val="28"/>
          <w:szCs w:val="28"/>
        </w:rPr>
        <w:t>21</w:t>
      </w:r>
      <w:r>
        <w:rPr>
          <w:rFonts w:ascii="Times New Roman" w:eastAsia="仿宋" w:hAnsi="仿宋" w:cs="Times New Roman"/>
          <w:sz w:val="28"/>
          <w:szCs w:val="28"/>
        </w:rPr>
        <w:t>日</w:t>
      </w:r>
    </w:p>
    <w:sectPr w:rsidR="00B30794" w:rsidSect="00B3079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3547" w:rsidRDefault="00F63547" w:rsidP="008B5A81">
      <w:r>
        <w:separator/>
      </w:r>
    </w:p>
  </w:endnote>
  <w:endnote w:type="continuationSeparator" w:id="1">
    <w:p w:rsidR="00F63547" w:rsidRDefault="00F63547" w:rsidP="008B5A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default"/>
    <w:sig w:usb0="00000000" w:usb1="00000000" w:usb2="00000016" w:usb3="00000000" w:csb0="0004000F" w:csb1="00000000"/>
  </w:font>
  <w:font w:name="仿宋">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3547" w:rsidRDefault="00F63547" w:rsidP="008B5A81">
      <w:r>
        <w:separator/>
      </w:r>
    </w:p>
  </w:footnote>
  <w:footnote w:type="continuationSeparator" w:id="1">
    <w:p w:rsidR="00F63547" w:rsidRDefault="00F63547" w:rsidP="008B5A8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doNotUseIndentAsNumberingTabStop/>
  </w:compat>
  <w:docVars>
    <w:docVar w:name="commondata" w:val="eyJoZGlkIjoiNGNmYzZmZWFiMjRmNWU2ZmRkZGU5ZGJhNjU5NTU3YzEifQ=="/>
  </w:docVars>
  <w:rsids>
    <w:rsidRoot w:val="00FF5BD8"/>
    <w:rsid w:val="000208EC"/>
    <w:rsid w:val="00067C3A"/>
    <w:rsid w:val="0008252F"/>
    <w:rsid w:val="00082D87"/>
    <w:rsid w:val="000875DA"/>
    <w:rsid w:val="000936E6"/>
    <w:rsid w:val="000D4B66"/>
    <w:rsid w:val="000D7955"/>
    <w:rsid w:val="001079B4"/>
    <w:rsid w:val="0015040B"/>
    <w:rsid w:val="001622C8"/>
    <w:rsid w:val="00172EC2"/>
    <w:rsid w:val="001730D7"/>
    <w:rsid w:val="001F2D8D"/>
    <w:rsid w:val="00210C0F"/>
    <w:rsid w:val="0027586B"/>
    <w:rsid w:val="00295105"/>
    <w:rsid w:val="002A38FE"/>
    <w:rsid w:val="00314CD0"/>
    <w:rsid w:val="003242DC"/>
    <w:rsid w:val="003646A0"/>
    <w:rsid w:val="003B195E"/>
    <w:rsid w:val="003D290A"/>
    <w:rsid w:val="003D714A"/>
    <w:rsid w:val="00443588"/>
    <w:rsid w:val="00475C17"/>
    <w:rsid w:val="00481740"/>
    <w:rsid w:val="00497168"/>
    <w:rsid w:val="004A47AA"/>
    <w:rsid w:val="004C6A2C"/>
    <w:rsid w:val="004D7A66"/>
    <w:rsid w:val="00506315"/>
    <w:rsid w:val="00512ADB"/>
    <w:rsid w:val="00517F15"/>
    <w:rsid w:val="00535DBC"/>
    <w:rsid w:val="005435EA"/>
    <w:rsid w:val="0056773A"/>
    <w:rsid w:val="005770AF"/>
    <w:rsid w:val="00594859"/>
    <w:rsid w:val="005C2935"/>
    <w:rsid w:val="005D1301"/>
    <w:rsid w:val="005D679A"/>
    <w:rsid w:val="0060184D"/>
    <w:rsid w:val="0060747B"/>
    <w:rsid w:val="006107E0"/>
    <w:rsid w:val="00613E38"/>
    <w:rsid w:val="00625EAF"/>
    <w:rsid w:val="00650034"/>
    <w:rsid w:val="0065220A"/>
    <w:rsid w:val="00654CE4"/>
    <w:rsid w:val="00676261"/>
    <w:rsid w:val="00682501"/>
    <w:rsid w:val="006A5BD9"/>
    <w:rsid w:val="006D17FA"/>
    <w:rsid w:val="006F2857"/>
    <w:rsid w:val="006F6E13"/>
    <w:rsid w:val="00703759"/>
    <w:rsid w:val="00725C0B"/>
    <w:rsid w:val="00734E92"/>
    <w:rsid w:val="00740F44"/>
    <w:rsid w:val="007423F8"/>
    <w:rsid w:val="007447C8"/>
    <w:rsid w:val="00760FBC"/>
    <w:rsid w:val="00784496"/>
    <w:rsid w:val="00784C31"/>
    <w:rsid w:val="007918F4"/>
    <w:rsid w:val="00793963"/>
    <w:rsid w:val="007960A4"/>
    <w:rsid w:val="007B0B56"/>
    <w:rsid w:val="007B68D7"/>
    <w:rsid w:val="007C6517"/>
    <w:rsid w:val="007D589F"/>
    <w:rsid w:val="007D704A"/>
    <w:rsid w:val="007F0ABD"/>
    <w:rsid w:val="00815942"/>
    <w:rsid w:val="0082283D"/>
    <w:rsid w:val="0082545D"/>
    <w:rsid w:val="0083068A"/>
    <w:rsid w:val="00835485"/>
    <w:rsid w:val="00853B59"/>
    <w:rsid w:val="00863191"/>
    <w:rsid w:val="00863806"/>
    <w:rsid w:val="008709EF"/>
    <w:rsid w:val="00872225"/>
    <w:rsid w:val="00875E2A"/>
    <w:rsid w:val="0089638A"/>
    <w:rsid w:val="008A3A22"/>
    <w:rsid w:val="008A7DF5"/>
    <w:rsid w:val="008B5A81"/>
    <w:rsid w:val="00916CB6"/>
    <w:rsid w:val="00943397"/>
    <w:rsid w:val="00952ABA"/>
    <w:rsid w:val="0096310D"/>
    <w:rsid w:val="009826B5"/>
    <w:rsid w:val="0098700D"/>
    <w:rsid w:val="009A15B4"/>
    <w:rsid w:val="009A47DC"/>
    <w:rsid w:val="009A5BB7"/>
    <w:rsid w:val="009C0623"/>
    <w:rsid w:val="009F42D7"/>
    <w:rsid w:val="00A015AE"/>
    <w:rsid w:val="00A14735"/>
    <w:rsid w:val="00A152BC"/>
    <w:rsid w:val="00A231CB"/>
    <w:rsid w:val="00A446A5"/>
    <w:rsid w:val="00A505EC"/>
    <w:rsid w:val="00A55C64"/>
    <w:rsid w:val="00A665FB"/>
    <w:rsid w:val="00A80358"/>
    <w:rsid w:val="00A83664"/>
    <w:rsid w:val="00AA3E2C"/>
    <w:rsid w:val="00AC2E1F"/>
    <w:rsid w:val="00AD0AB0"/>
    <w:rsid w:val="00AD3CF2"/>
    <w:rsid w:val="00B03171"/>
    <w:rsid w:val="00B07386"/>
    <w:rsid w:val="00B30794"/>
    <w:rsid w:val="00B34274"/>
    <w:rsid w:val="00B40188"/>
    <w:rsid w:val="00B43574"/>
    <w:rsid w:val="00B55A9C"/>
    <w:rsid w:val="00B57E3A"/>
    <w:rsid w:val="00B95412"/>
    <w:rsid w:val="00BF1DA9"/>
    <w:rsid w:val="00C21E07"/>
    <w:rsid w:val="00C2244C"/>
    <w:rsid w:val="00C40AC9"/>
    <w:rsid w:val="00C42997"/>
    <w:rsid w:val="00C456AB"/>
    <w:rsid w:val="00C4610E"/>
    <w:rsid w:val="00C5592F"/>
    <w:rsid w:val="00C611F4"/>
    <w:rsid w:val="00CA0B91"/>
    <w:rsid w:val="00CC7CAE"/>
    <w:rsid w:val="00D23D1A"/>
    <w:rsid w:val="00D32E5C"/>
    <w:rsid w:val="00D57C79"/>
    <w:rsid w:val="00D62170"/>
    <w:rsid w:val="00D726AA"/>
    <w:rsid w:val="00D871FC"/>
    <w:rsid w:val="00DA1E4F"/>
    <w:rsid w:val="00DB3C88"/>
    <w:rsid w:val="00DD1079"/>
    <w:rsid w:val="00DD4CA1"/>
    <w:rsid w:val="00DE3C3E"/>
    <w:rsid w:val="00DE6B82"/>
    <w:rsid w:val="00E17719"/>
    <w:rsid w:val="00E2195A"/>
    <w:rsid w:val="00E40506"/>
    <w:rsid w:val="00E60B38"/>
    <w:rsid w:val="00E65A9D"/>
    <w:rsid w:val="00EA5E13"/>
    <w:rsid w:val="00EF696B"/>
    <w:rsid w:val="00EF6CDA"/>
    <w:rsid w:val="00F000FB"/>
    <w:rsid w:val="00F03E28"/>
    <w:rsid w:val="00F048F1"/>
    <w:rsid w:val="00F20E7E"/>
    <w:rsid w:val="00F21F23"/>
    <w:rsid w:val="00F270E2"/>
    <w:rsid w:val="00F6261F"/>
    <w:rsid w:val="00F62DBB"/>
    <w:rsid w:val="00F63547"/>
    <w:rsid w:val="00F742B9"/>
    <w:rsid w:val="00F87DA0"/>
    <w:rsid w:val="00F977F2"/>
    <w:rsid w:val="00FB6079"/>
    <w:rsid w:val="00FB65D2"/>
    <w:rsid w:val="00FC2AC0"/>
    <w:rsid w:val="00FC5D04"/>
    <w:rsid w:val="00FE2981"/>
    <w:rsid w:val="00FF5BD8"/>
    <w:rsid w:val="0FDB67A5"/>
    <w:rsid w:val="14283A19"/>
    <w:rsid w:val="193F7F0D"/>
    <w:rsid w:val="1DED5542"/>
    <w:rsid w:val="2235706E"/>
    <w:rsid w:val="2A2D71B4"/>
    <w:rsid w:val="319E7891"/>
    <w:rsid w:val="36F76E25"/>
    <w:rsid w:val="3A27720E"/>
    <w:rsid w:val="3ECD6784"/>
    <w:rsid w:val="47410BFE"/>
    <w:rsid w:val="490E02F3"/>
    <w:rsid w:val="4ADE6588"/>
    <w:rsid w:val="513C382A"/>
    <w:rsid w:val="544E13C9"/>
    <w:rsid w:val="64C515E9"/>
    <w:rsid w:val="67562A36"/>
    <w:rsid w:val="69583297"/>
    <w:rsid w:val="6A896620"/>
    <w:rsid w:val="6C0E46AB"/>
    <w:rsid w:val="742712AF"/>
    <w:rsid w:val="7E5F786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Table Grid" w:semiHidden="0" w:uiPriority="39"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0794"/>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qFormat/>
    <w:rsid w:val="00B30794"/>
    <w:pPr>
      <w:keepNext/>
      <w:keepLines/>
      <w:spacing w:before="340" w:after="330" w:line="578" w:lineRule="auto"/>
      <w:outlineLvl w:val="0"/>
    </w:pPr>
    <w:rPr>
      <w:rFonts w:ascii="等线" w:eastAsia="等线" w:hAnsi="等线" w:cs="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B30794"/>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B30794"/>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B30794"/>
    <w:pPr>
      <w:jc w:val="left"/>
    </w:pPr>
    <w:rPr>
      <w:rFonts w:cs="Times New Roman"/>
      <w:kern w:val="0"/>
      <w:sz w:val="24"/>
    </w:rPr>
  </w:style>
  <w:style w:type="table" w:styleId="a6">
    <w:name w:val="Table Grid"/>
    <w:basedOn w:val="a1"/>
    <w:uiPriority w:val="39"/>
    <w:unhideWhenUsed/>
    <w:qFormat/>
    <w:rsid w:val="00B3079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0">
    <w:name w:val="页眉 Char"/>
    <w:basedOn w:val="a0"/>
    <w:link w:val="a4"/>
    <w:uiPriority w:val="99"/>
    <w:qFormat/>
    <w:rsid w:val="00B30794"/>
    <w:rPr>
      <w:sz w:val="18"/>
      <w:szCs w:val="18"/>
    </w:rPr>
  </w:style>
  <w:style w:type="character" w:customStyle="1" w:styleId="Char">
    <w:name w:val="页脚 Char"/>
    <w:basedOn w:val="a0"/>
    <w:link w:val="a3"/>
    <w:uiPriority w:val="99"/>
    <w:qFormat/>
    <w:rsid w:val="00B30794"/>
    <w:rPr>
      <w:sz w:val="18"/>
      <w:szCs w:val="18"/>
    </w:rPr>
  </w:style>
  <w:style w:type="character" w:customStyle="1" w:styleId="1Char">
    <w:name w:val="标题 1 Char"/>
    <w:basedOn w:val="a0"/>
    <w:link w:val="1"/>
    <w:qFormat/>
    <w:rsid w:val="00B30794"/>
    <w:rPr>
      <w:rFonts w:ascii="等线" w:eastAsia="等线" w:hAnsi="等线"/>
      <w:b/>
      <w:bCs/>
      <w:kern w:val="44"/>
      <w:sz w:val="44"/>
      <w:szCs w:val="4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B96EE8-651C-4DD0-91A0-1EB560C22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260</Words>
  <Characters>1483</Characters>
  <Application>Microsoft Office Word</Application>
  <DocSecurity>0</DocSecurity>
  <Lines>12</Lines>
  <Paragraphs>3</Paragraphs>
  <ScaleCrop>false</ScaleCrop>
  <Company>Microsoft</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lx</cp:lastModifiedBy>
  <cp:revision>128</cp:revision>
  <dcterms:created xsi:type="dcterms:W3CDTF">2021-07-15T02:13:00Z</dcterms:created>
  <dcterms:modified xsi:type="dcterms:W3CDTF">2025-03-18T08:11:00Z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290A5F0480FD47028C1B14B0A0799DB7</vt:lpwstr>
  </property>
</Properties>
</file>