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00000" w:fill="FFFFFF"/>
        <w:jc w:val="center"/>
        <w:rPr>
          <w:rFonts w:hint="eastAsia" w:ascii="华文中宋" w:hAnsi="华文中宋" w:eastAsia="华文中宋"/>
          <w:sz w:val="36"/>
          <w:szCs w:val="36"/>
        </w:rPr>
      </w:pPr>
      <w:r>
        <w:rPr>
          <w:rFonts w:hint="eastAsia" w:ascii="黑体" w:hAnsi="黑体" w:eastAsia="黑体" w:cs="黑体"/>
          <w:color w:val="auto"/>
          <w:spacing w:val="-3"/>
          <w:kern w:val="1"/>
          <w:sz w:val="32"/>
          <w:szCs w:val="32"/>
        </w:rPr>
        <w:t>人才人事数据转换</w:t>
      </w:r>
      <w:r>
        <w:rPr>
          <w:rFonts w:hint="eastAsia" w:ascii="黑体" w:hAnsi="黑体" w:eastAsia="黑体" w:cs="黑体"/>
          <w:color w:val="auto"/>
          <w:spacing w:val="-3"/>
          <w:kern w:val="1"/>
          <w:sz w:val="32"/>
          <w:szCs w:val="32"/>
          <w:lang w:eastAsia="zh-CN"/>
        </w:rPr>
        <w:t>项目</w:t>
      </w:r>
      <w:r>
        <w:rPr>
          <w:rFonts w:ascii="黑体" w:hAnsi="黑体" w:eastAsia="黑体" w:cs="黑体"/>
          <w:color w:val="auto"/>
          <w:spacing w:val="-3"/>
          <w:kern w:val="1"/>
          <w:sz w:val="32"/>
          <w:szCs w:val="32"/>
        </w:rPr>
        <w:t>招标要求</w:t>
      </w:r>
    </w:p>
    <w:p>
      <w:pPr>
        <w:spacing w:line="360" w:lineRule="auto"/>
        <w:ind w:firstLine="422"/>
        <w:rPr>
          <w:rFonts w:hint="eastAsia" w:ascii="宋体" w:hAnsi="宋体" w:cs="宋体"/>
          <w:b/>
          <w:kern w:val="1"/>
          <w:szCs w:val="21"/>
          <w:lang w:eastAsia="zh-CN"/>
        </w:rPr>
      </w:pPr>
      <w:r>
        <w:rPr>
          <w:rFonts w:hint="eastAsia" w:ascii="宋体" w:hAnsi="宋体" w:cs="宋体"/>
          <w:b/>
          <w:kern w:val="1"/>
          <w:szCs w:val="21"/>
          <w:lang w:eastAsia="zh-CN"/>
        </w:rPr>
        <w:t xml:space="preserve">一、 项目概述 </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（一）项目名称：人才人事数据转换项目。</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w:t>
      </w:r>
      <w:r>
        <w:rPr>
          <w:rFonts w:hint="eastAsia" w:cs="宋体"/>
          <w:kern w:val="1"/>
          <w:sz w:val="21"/>
          <w:szCs w:val="21"/>
          <w:lang w:val="en-US" w:eastAsia="zh-CN" w:bidi="ar-SA"/>
        </w:rPr>
        <w:t>二</w:t>
      </w:r>
      <w:r>
        <w:rPr>
          <w:rFonts w:hint="eastAsia" w:ascii="宋体" w:hAnsi="宋体" w:eastAsia="宋体" w:cs="宋体"/>
          <w:kern w:val="1"/>
          <w:sz w:val="21"/>
          <w:szCs w:val="21"/>
          <w:lang w:val="en-US" w:eastAsia="zh-CN" w:bidi="ar-SA"/>
        </w:rPr>
        <w:t>）本项目维护的范围是无锡市机关事业单位人事管理系统（人事管理系统）</w:t>
      </w:r>
      <w:r>
        <w:rPr>
          <w:rFonts w:hint="eastAsia" w:cs="宋体"/>
          <w:kern w:val="1"/>
          <w:sz w:val="21"/>
          <w:szCs w:val="21"/>
          <w:lang w:val="en-US" w:eastAsia="zh-CN" w:bidi="ar-SA"/>
        </w:rPr>
        <w:t>、流动人员档案、人才人事提升工程项目（职称申报系统）</w:t>
      </w:r>
      <w:r>
        <w:rPr>
          <w:rFonts w:hint="eastAsia" w:ascii="宋体" w:hAnsi="宋体" w:eastAsia="宋体" w:cs="宋体"/>
          <w:kern w:val="1"/>
          <w:sz w:val="21"/>
          <w:szCs w:val="21"/>
          <w:lang w:val="en-US" w:eastAsia="zh-CN" w:bidi="ar-SA"/>
        </w:rPr>
        <w:t>建设数据转换推送至省一体化系统，实现本地系统到省平台一体化系统的转换。</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w:t>
      </w:r>
      <w:r>
        <w:rPr>
          <w:rFonts w:hint="eastAsia" w:cs="宋体"/>
          <w:kern w:val="1"/>
          <w:sz w:val="21"/>
          <w:szCs w:val="21"/>
          <w:lang w:val="en-US" w:eastAsia="zh-CN" w:bidi="ar-SA"/>
        </w:rPr>
        <w:t>三</w:t>
      </w:r>
      <w:r>
        <w:rPr>
          <w:rFonts w:hint="eastAsia" w:ascii="宋体" w:hAnsi="宋体" w:eastAsia="宋体" w:cs="宋体"/>
          <w:kern w:val="1"/>
          <w:sz w:val="21"/>
          <w:szCs w:val="21"/>
          <w:lang w:val="en-US" w:eastAsia="zh-CN" w:bidi="ar-SA"/>
        </w:rPr>
        <w:t>）维护的内容：准确高效地将无锡市人社局人事管理</w:t>
      </w:r>
      <w:r>
        <w:rPr>
          <w:rFonts w:hint="eastAsia" w:cs="宋体"/>
          <w:kern w:val="1"/>
          <w:sz w:val="21"/>
          <w:szCs w:val="21"/>
          <w:lang w:val="en-US" w:eastAsia="zh-CN" w:bidi="ar-SA"/>
        </w:rPr>
        <w:t>、流动人员档案、职称申报系统</w:t>
      </w:r>
      <w:r>
        <w:rPr>
          <w:rFonts w:hint="eastAsia" w:ascii="宋体" w:hAnsi="宋体" w:eastAsia="宋体" w:cs="宋体"/>
          <w:kern w:val="1"/>
          <w:sz w:val="21"/>
          <w:szCs w:val="21"/>
          <w:lang w:val="en-US" w:eastAsia="zh-CN" w:bidi="ar-SA"/>
        </w:rPr>
        <w:t xml:space="preserve">数据进行数据转换，并将其推送至省厅的转换库中进行校验，将校验通过的数据转入正式库中，以供省平台一体化系统使用，实现本地系统到省一体化平台系统的快速切换，并投入使用。 </w:t>
      </w:r>
    </w:p>
    <w:p>
      <w:pPr>
        <w:spacing w:line="360" w:lineRule="auto"/>
        <w:ind w:firstLine="422"/>
        <w:rPr>
          <w:rFonts w:hint="eastAsia" w:ascii="宋体" w:hAnsi="宋体" w:cs="宋体"/>
          <w:b/>
          <w:kern w:val="1"/>
          <w:szCs w:val="21"/>
          <w:lang w:eastAsia="zh-CN"/>
        </w:rPr>
      </w:pPr>
      <w:r>
        <w:rPr>
          <w:rFonts w:hint="eastAsia" w:ascii="宋体" w:hAnsi="宋体" w:cs="宋体"/>
          <w:b/>
          <w:kern w:val="1"/>
          <w:szCs w:val="21"/>
          <w:lang w:eastAsia="zh-CN"/>
        </w:rPr>
        <w:t xml:space="preserve">二、 需求分析 </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 xml:space="preserve">（一）现状。 </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根据省一体化平台的建设要求，需将无锡本地系统按照时间进度，逐步切换至省系统，需将无锡本地数据转换迁移至省一体化平台（见附件1：《省人力资源社会保障一体化信息平台数据清洗工作方案》）。</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 xml:space="preserve">（二） 需求分析。 </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本项目是对无锡市人事管理系统</w:t>
      </w:r>
      <w:r>
        <w:rPr>
          <w:rFonts w:hint="eastAsia" w:cs="宋体"/>
          <w:kern w:val="1"/>
          <w:sz w:val="21"/>
          <w:szCs w:val="21"/>
          <w:lang w:val="en-US" w:eastAsia="zh-CN" w:bidi="ar-SA"/>
        </w:rPr>
        <w:t>、流动人员档案、职称申报系统</w:t>
      </w:r>
      <w:r>
        <w:rPr>
          <w:rFonts w:hint="eastAsia" w:ascii="宋体" w:hAnsi="宋体" w:eastAsia="宋体" w:cs="宋体"/>
          <w:kern w:val="1"/>
          <w:sz w:val="21"/>
          <w:szCs w:val="21"/>
          <w:lang w:val="en-US" w:eastAsia="zh-CN" w:bidi="ar-SA"/>
        </w:rPr>
        <w:t>数据按照省一体化平台的使用要求，进行数据转换并推送至省一体化平台，使无锡本地数据能适应并融入省一体化平台，实现系统业务从本地到省一体化平台的切换。</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主要是根据省厅数据转换的时间安排，对人事系统</w:t>
      </w:r>
      <w:r>
        <w:rPr>
          <w:rFonts w:hint="eastAsia" w:cs="宋体"/>
          <w:kern w:val="1"/>
          <w:sz w:val="21"/>
          <w:szCs w:val="21"/>
          <w:lang w:val="en-US" w:eastAsia="zh-CN" w:bidi="ar-SA"/>
        </w:rPr>
        <w:t>、流动人员档案、职称申报系统</w:t>
      </w:r>
      <w:r>
        <w:rPr>
          <w:rFonts w:hint="eastAsia" w:ascii="宋体" w:hAnsi="宋体" w:eastAsia="宋体" w:cs="宋体"/>
          <w:kern w:val="1"/>
          <w:sz w:val="21"/>
          <w:szCs w:val="21"/>
          <w:lang w:val="en-US" w:eastAsia="zh-CN" w:bidi="ar-SA"/>
        </w:rPr>
        <w:t>的业务数据进行梳理，做好表和字段的对应，代码项的比对，并编写高效、稳定、快速的数据转换脚本，实现本地数据向省一体化平台数据标准的转换与校验，经过多轮测试，并正式推送至省平台，确保无锡本地系统到省一体化平台的平稳切换。</w:t>
      </w:r>
    </w:p>
    <w:p>
      <w:pPr>
        <w:pStyle w:val="6"/>
        <w:widowControl w:val="0"/>
        <w:adjustRightInd w:val="0"/>
        <w:snapToGrid w:val="0"/>
        <w:spacing w:before="0" w:beforeAutospacing="0" w:after="0" w:afterAutospacing="0" w:line="560" w:lineRule="exact"/>
        <w:ind w:firstLine="420" w:firstLineChars="200"/>
        <w:rPr>
          <w:rFonts w:hint="default" w:ascii="宋体" w:hAnsi="宋体" w:eastAsia="宋体" w:cs="宋体"/>
          <w:kern w:val="1"/>
          <w:sz w:val="21"/>
          <w:szCs w:val="21"/>
          <w:lang w:val="en-US" w:eastAsia="zh-CN" w:bidi="ar-SA"/>
        </w:rPr>
      </w:pPr>
      <w:r>
        <w:rPr>
          <w:rFonts w:hint="default" w:ascii="宋体" w:hAnsi="宋体" w:eastAsia="宋体" w:cs="宋体"/>
          <w:kern w:val="1"/>
          <w:sz w:val="21"/>
          <w:szCs w:val="21"/>
          <w:lang w:val="en-US" w:eastAsia="zh-CN" w:bidi="ar-SA"/>
        </w:rPr>
        <w:t>根据省下发的《省一体化平台人事系统准入规则》，与我本地系统进行初步对比后，发现本地系统与省系统在表结构，表字段命名规范上有很大差异，</w:t>
      </w:r>
      <w:r>
        <w:rPr>
          <w:rFonts w:hint="eastAsia" w:ascii="宋体" w:hAnsi="宋体" w:eastAsia="宋体" w:cs="宋体"/>
          <w:kern w:val="1"/>
          <w:sz w:val="21"/>
          <w:szCs w:val="21"/>
          <w:lang w:val="en-US" w:eastAsia="zh-CN" w:bidi="ar-SA"/>
        </w:rPr>
        <w:t>经与省平台和本地系统服务商调研研究后，初步认定</w:t>
      </w:r>
      <w:r>
        <w:rPr>
          <w:rFonts w:hint="default" w:ascii="宋体" w:hAnsi="宋体" w:eastAsia="宋体" w:cs="宋体"/>
          <w:kern w:val="1"/>
          <w:sz w:val="21"/>
          <w:szCs w:val="21"/>
          <w:lang w:val="en-US" w:eastAsia="zh-CN" w:bidi="ar-SA"/>
        </w:rPr>
        <w:t>无法通过公司数据比对产品进行自动化比对，须通过人工逐一比对；部分表存在多表对应一表的情况，需要通过业务部门沟通确认，确认表关联关系，在脚本中进行合并推送；部分必转表和必转字段在老系统中缺失，需逐一确定取值或其他处理方案。</w:t>
      </w:r>
    </w:p>
    <w:p>
      <w:pPr>
        <w:spacing w:line="360" w:lineRule="auto"/>
        <w:ind w:firstLine="422"/>
        <w:rPr>
          <w:rFonts w:hint="eastAsia" w:ascii="宋体" w:hAnsi="宋体" w:cs="宋体"/>
          <w:b/>
          <w:kern w:val="1"/>
          <w:szCs w:val="21"/>
          <w:lang w:eastAsia="zh-CN"/>
        </w:rPr>
      </w:pPr>
      <w:r>
        <w:rPr>
          <w:rFonts w:hint="eastAsia" w:ascii="宋体" w:hAnsi="宋体" w:cs="宋体"/>
          <w:b/>
          <w:kern w:val="1"/>
          <w:szCs w:val="21"/>
          <w:lang w:eastAsia="zh-CN"/>
        </w:rPr>
        <w:t xml:space="preserve">三、 运维的主要内容 </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 xml:space="preserve">（一）运维整体概况。 </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具体内容如下：</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1．完成对各业务表必要表和字段的了解梳理；</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2．完成人事系统</w:t>
      </w:r>
      <w:r>
        <w:rPr>
          <w:rFonts w:hint="eastAsia" w:cs="宋体"/>
          <w:kern w:val="1"/>
          <w:sz w:val="21"/>
          <w:szCs w:val="21"/>
          <w:lang w:val="en-US" w:eastAsia="zh-CN" w:bidi="ar-SA"/>
        </w:rPr>
        <w:t>、流动人员档案、职称申报系统</w:t>
      </w:r>
      <w:r>
        <w:rPr>
          <w:rFonts w:hint="eastAsia" w:ascii="宋体" w:hAnsi="宋体" w:eastAsia="宋体" w:cs="宋体"/>
          <w:kern w:val="1"/>
          <w:sz w:val="21"/>
          <w:szCs w:val="21"/>
          <w:lang w:val="en-US" w:eastAsia="zh-CN" w:bidi="ar-SA"/>
        </w:rPr>
        <w:t>所有表字段的比对工作，以及代码项的比对和整理工作；</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3．完成推送脚本的编写工作；</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4．完成脚本的运行和数据校验工作，并根据数据校验情况对脚本进行修改完善，并推送至测试系统；</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5．配合业务部门做好测试系统数据测试工作，并根据业务部门反馈，对脚本进行修改完善；</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6．完成对脚本速度和其他方面的优化工作；</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7．根据省厅的时间安排，经几轮测试后，停机本地系统，并开始正式数转。</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8．根据业务部门正时系统使用情况，对数转数据进行微调，保障系统平稳切换。</w:t>
      </w:r>
    </w:p>
    <w:p>
      <w:pPr>
        <w:pStyle w:val="6"/>
        <w:widowControl w:val="0"/>
        <w:adjustRightInd w:val="0"/>
        <w:snapToGrid w:val="0"/>
        <w:spacing w:before="0" w:beforeAutospacing="0" w:after="0" w:afterAutospacing="0" w:line="560" w:lineRule="exact"/>
        <w:ind w:firstLine="420" w:firstLineChars="200"/>
        <w:rPr>
          <w:rFonts w:hint="eastAsia" w:ascii="宋体" w:hAnsi="宋体" w:eastAsia="宋体" w:cs="宋体"/>
          <w:kern w:val="1"/>
          <w:sz w:val="21"/>
          <w:szCs w:val="21"/>
          <w:lang w:val="en-US" w:eastAsia="zh-CN" w:bidi="ar-SA"/>
        </w:rPr>
      </w:pPr>
      <w:r>
        <w:rPr>
          <w:rFonts w:hint="eastAsia" w:ascii="宋体" w:hAnsi="宋体" w:eastAsia="宋体" w:cs="宋体"/>
          <w:kern w:val="1"/>
          <w:sz w:val="21"/>
          <w:szCs w:val="21"/>
          <w:lang w:val="en-US" w:eastAsia="zh-CN" w:bidi="ar-SA"/>
        </w:rPr>
        <w:t>9．将数转整体情况，汇总材料，提交给采购方。</w:t>
      </w:r>
    </w:p>
    <w:p>
      <w:pPr>
        <w:spacing w:line="360" w:lineRule="auto"/>
        <w:ind w:firstLine="420"/>
        <w:rPr>
          <w:rFonts w:hint="eastAsia" w:ascii="宋体" w:hAnsi="宋体" w:cs="宋体"/>
          <w:kern w:val="1"/>
          <w:szCs w:val="21"/>
        </w:rPr>
      </w:pPr>
      <w:r>
        <w:rPr>
          <w:rFonts w:hint="eastAsia" w:ascii="宋体" w:hAnsi="宋体" w:cs="宋体"/>
          <w:kern w:val="1"/>
          <w:szCs w:val="21"/>
        </w:rPr>
        <w:t xml:space="preserve">（二）运维人员要求 </w:t>
      </w:r>
    </w:p>
    <w:p>
      <w:pPr>
        <w:spacing w:line="360" w:lineRule="auto"/>
        <w:ind w:firstLine="420"/>
        <w:rPr>
          <w:rFonts w:hint="eastAsia" w:ascii="宋体" w:hAnsi="宋体" w:cs="宋体"/>
          <w:kern w:val="1"/>
          <w:szCs w:val="21"/>
        </w:rPr>
      </w:pPr>
      <w:r>
        <w:rPr>
          <w:rFonts w:hint="eastAsia" w:ascii="宋体" w:hAnsi="宋体" w:cs="宋体"/>
          <w:kern w:val="1"/>
          <w:szCs w:val="21"/>
        </w:rPr>
        <w:t>针对本项目提供至少</w:t>
      </w:r>
      <w:r>
        <w:rPr>
          <w:rFonts w:hint="eastAsia" w:ascii="宋体" w:hAnsi="宋体" w:cs="宋体"/>
          <w:kern w:val="1"/>
          <w:szCs w:val="21"/>
          <w:lang w:val="en-US" w:eastAsia="zh-CN"/>
        </w:rPr>
        <w:t>1名项目经理、2名开发人员和1名现场实施人员，必要时，需新增人员加入，以保障项目建设进度</w:t>
      </w:r>
      <w:r>
        <w:rPr>
          <w:rFonts w:hint="eastAsia" w:ascii="宋体" w:hAnsi="宋体" w:cs="宋体"/>
          <w:kern w:val="1"/>
          <w:szCs w:val="21"/>
        </w:rPr>
        <w:t>，具备1年以上</w:t>
      </w:r>
      <w:r>
        <w:rPr>
          <w:rFonts w:hint="eastAsia" w:ascii="宋体" w:hAnsi="宋体" w:cs="宋体"/>
          <w:kern w:val="1"/>
          <w:szCs w:val="21"/>
          <w:lang w:eastAsia="zh-CN"/>
        </w:rPr>
        <w:t>软件开发工作经验</w:t>
      </w:r>
      <w:r>
        <w:rPr>
          <w:rFonts w:hint="eastAsia" w:ascii="宋体" w:hAnsi="宋体" w:cs="宋体"/>
          <w:kern w:val="1"/>
          <w:szCs w:val="21"/>
        </w:rPr>
        <w:t>。熟悉无锡人社</w:t>
      </w:r>
      <w:r>
        <w:rPr>
          <w:rFonts w:hint="eastAsia" w:ascii="宋体" w:hAnsi="宋体" w:cs="宋体"/>
          <w:kern w:val="1"/>
          <w:szCs w:val="21"/>
          <w:lang w:eastAsia="zh-CN"/>
        </w:rPr>
        <w:t>人事人才业务，熟练掌握数据库操作和脚本编写工作</w:t>
      </w:r>
      <w:r>
        <w:rPr>
          <w:rFonts w:hint="eastAsia" w:ascii="宋体" w:hAnsi="宋体" w:cs="宋体"/>
          <w:kern w:val="1"/>
          <w:szCs w:val="21"/>
        </w:rPr>
        <w:t>。合同期内，如有用户投诉，一经证实，采购方有权要求调整不合格人员。</w:t>
      </w:r>
    </w:p>
    <w:p>
      <w:pPr>
        <w:spacing w:line="360" w:lineRule="auto"/>
        <w:ind w:firstLine="422"/>
        <w:rPr>
          <w:rFonts w:ascii="宋体" w:hAnsi="宋体" w:cs="宋体"/>
          <w:b/>
          <w:kern w:val="1"/>
          <w:szCs w:val="21"/>
        </w:rPr>
      </w:pPr>
      <w:r>
        <w:rPr>
          <w:rFonts w:hint="eastAsia" w:ascii="宋体" w:hAnsi="宋体" w:cs="宋体"/>
          <w:b/>
          <w:kern w:val="1"/>
          <w:szCs w:val="21"/>
          <w:lang w:eastAsia="zh-CN"/>
        </w:rPr>
        <w:t>四</w:t>
      </w:r>
      <w:r>
        <w:rPr>
          <w:rFonts w:hint="eastAsia" w:ascii="宋体" w:hAnsi="宋体" w:cs="宋体"/>
          <w:b/>
          <w:kern w:val="1"/>
          <w:szCs w:val="21"/>
        </w:rPr>
        <w:t>、投标方要求</w:t>
      </w:r>
    </w:p>
    <w:p>
      <w:pPr>
        <w:spacing w:line="360" w:lineRule="auto"/>
        <w:ind w:firstLine="420"/>
        <w:rPr>
          <w:rFonts w:ascii="宋体" w:hAnsi="宋体" w:cs="宋体"/>
          <w:kern w:val="1"/>
          <w:szCs w:val="21"/>
        </w:rPr>
      </w:pPr>
      <w:r>
        <w:rPr>
          <w:rFonts w:hint="eastAsia" w:ascii="宋体" w:hAnsi="宋体" w:cs="宋体"/>
          <w:kern w:val="1"/>
          <w:szCs w:val="21"/>
        </w:rPr>
        <w:t>1、投标方须符合《政府采购法》第二十二条规定，资产运营良好，不存在因借贷、担保等可能影响投标方履行本项目的情况；没有有损其经商声誉的记录，具有良好的经营业绩和提供优质服务的能力,</w:t>
      </w:r>
      <w:r>
        <w:rPr>
          <w:rFonts w:ascii="宋体" w:hAnsi="宋体" w:cs="宋体"/>
          <w:kern w:val="1"/>
          <w:szCs w:val="21"/>
        </w:rPr>
        <w:t>参加政府采购活动前三年内，在经营活动中没有重大违法记录，受到过公开处罚</w:t>
      </w:r>
      <w:r>
        <w:rPr>
          <w:rFonts w:hint="eastAsia" w:ascii="宋体" w:hAnsi="宋体" w:cs="宋体"/>
          <w:kern w:val="1"/>
          <w:szCs w:val="21"/>
        </w:rPr>
        <w:t>。</w:t>
      </w:r>
    </w:p>
    <w:p>
      <w:pPr>
        <w:spacing w:line="360" w:lineRule="auto"/>
        <w:ind w:firstLine="420"/>
        <w:rPr>
          <w:rFonts w:ascii="宋体" w:hAnsi="宋体" w:cs="宋体"/>
          <w:kern w:val="1"/>
          <w:szCs w:val="21"/>
        </w:rPr>
      </w:pPr>
      <w:r>
        <w:rPr>
          <w:rFonts w:hint="eastAsia" w:ascii="宋体" w:hAnsi="宋体" w:cs="宋体"/>
          <w:kern w:val="1"/>
          <w:szCs w:val="21"/>
        </w:rPr>
        <w:t>2、经全国法院失信被执行人名单信息公布与查询平台进行查询，报价单位法定代表人、项目负责人、授权代理人无失信行为的供应商才能参加项目报价。</w:t>
      </w:r>
    </w:p>
    <w:p>
      <w:pPr>
        <w:spacing w:line="360" w:lineRule="auto"/>
        <w:ind w:firstLine="420"/>
        <w:rPr>
          <w:rFonts w:ascii="宋体" w:hAnsi="宋体" w:cs="宋体"/>
          <w:kern w:val="1"/>
          <w:szCs w:val="21"/>
        </w:rPr>
      </w:pPr>
      <w:r>
        <w:rPr>
          <w:rFonts w:hint="eastAsia" w:ascii="宋体" w:hAnsi="宋体" w:cs="宋体"/>
          <w:kern w:val="1"/>
          <w:szCs w:val="21"/>
        </w:rPr>
        <w:t>3、一个报价人只能提交一个报价文件。报价人之间存在下列互为关联关系的情形之一的，不得同时参加本项目报价：</w:t>
      </w:r>
    </w:p>
    <w:p>
      <w:pPr>
        <w:spacing w:line="360" w:lineRule="auto"/>
        <w:ind w:firstLine="420"/>
        <w:rPr>
          <w:rFonts w:ascii="宋体" w:hAnsi="宋体" w:cs="宋体"/>
          <w:kern w:val="1"/>
          <w:szCs w:val="21"/>
        </w:rPr>
      </w:pPr>
      <w:r>
        <w:rPr>
          <w:rFonts w:hint="eastAsia" w:ascii="宋体" w:hAnsi="宋体" w:cs="宋体"/>
          <w:kern w:val="1"/>
          <w:szCs w:val="21"/>
        </w:rPr>
        <w:t>(1) 法定代表人为同一人的两个及两个以上法人；</w:t>
      </w:r>
    </w:p>
    <w:p>
      <w:pPr>
        <w:spacing w:line="360" w:lineRule="auto"/>
        <w:ind w:firstLine="420"/>
        <w:rPr>
          <w:rFonts w:ascii="宋体" w:hAnsi="宋体" w:cs="宋体"/>
          <w:kern w:val="1"/>
          <w:szCs w:val="21"/>
        </w:rPr>
      </w:pPr>
      <w:r>
        <w:rPr>
          <w:rFonts w:hint="eastAsia" w:ascii="宋体" w:hAnsi="宋体" w:cs="宋体"/>
          <w:kern w:val="1"/>
          <w:szCs w:val="21"/>
        </w:rPr>
        <w:t>(2) 母公司、直接或间接持股50％及以上的被投资公司；</w:t>
      </w:r>
    </w:p>
    <w:p>
      <w:pPr>
        <w:spacing w:line="360" w:lineRule="auto"/>
        <w:ind w:firstLine="420"/>
        <w:rPr>
          <w:rFonts w:ascii="宋体" w:hAnsi="宋体" w:cs="宋体"/>
          <w:kern w:val="1"/>
          <w:szCs w:val="21"/>
        </w:rPr>
      </w:pPr>
      <w:r>
        <w:rPr>
          <w:rFonts w:hint="eastAsia" w:ascii="宋体" w:hAnsi="宋体" w:cs="宋体"/>
          <w:kern w:val="1"/>
          <w:szCs w:val="21"/>
        </w:rPr>
        <w:t>(3) 均为同一家母公司直接或间接持股50％及以上的被投资公司。</w:t>
      </w:r>
    </w:p>
    <w:p>
      <w:pPr>
        <w:spacing w:line="360" w:lineRule="auto"/>
        <w:ind w:firstLine="420"/>
        <w:rPr>
          <w:rFonts w:ascii="宋体" w:hAnsi="宋体" w:cs="宋体"/>
          <w:kern w:val="1"/>
          <w:szCs w:val="21"/>
        </w:rPr>
      </w:pPr>
      <w:r>
        <w:rPr>
          <w:rFonts w:hint="eastAsia" w:ascii="宋体" w:hAnsi="宋体" w:cs="宋体"/>
          <w:kern w:val="1"/>
          <w:szCs w:val="21"/>
        </w:rPr>
        <w:t>4、本项目不接受联合体投标，投标方必须具备独立完成本项目的能力，不允许分包或转包。</w:t>
      </w:r>
    </w:p>
    <w:p>
      <w:pPr>
        <w:spacing w:line="360" w:lineRule="auto"/>
        <w:ind w:firstLine="420"/>
        <w:rPr>
          <w:rFonts w:ascii="宋体" w:hAnsi="宋体" w:cs="宋体"/>
          <w:kern w:val="1"/>
          <w:szCs w:val="21"/>
        </w:rPr>
      </w:pPr>
      <w:r>
        <w:rPr>
          <w:rFonts w:ascii="宋体" w:hAnsi="宋体" w:cs="宋体"/>
          <w:kern w:val="1"/>
          <w:szCs w:val="21"/>
        </w:rPr>
        <w:t xml:space="preserve">5、投标方五年内须曾服务过国内外知名公司，具备相关服务经验（需提供见证性材料，如合同，推荐信等）； </w:t>
      </w:r>
    </w:p>
    <w:p>
      <w:pPr>
        <w:spacing w:line="360" w:lineRule="auto"/>
        <w:ind w:firstLine="420"/>
        <w:rPr>
          <w:rFonts w:ascii="宋体" w:hAnsi="宋体" w:cs="宋体"/>
          <w:kern w:val="1"/>
          <w:szCs w:val="21"/>
        </w:rPr>
      </w:pPr>
      <w:r>
        <w:rPr>
          <w:rFonts w:hint="eastAsia" w:ascii="宋体" w:hAnsi="宋体" w:cs="宋体"/>
          <w:kern w:val="1"/>
          <w:szCs w:val="21"/>
        </w:rPr>
        <w:t>6、投标方必须是在中华人民共和国境内注册的独立法人且经营状况良好，成立时间超过2年、注册资金在1000万元人民币（外币按注册时汇率计算）及以上的，以企业营业执照为准。</w:t>
      </w:r>
    </w:p>
    <w:p>
      <w:pPr>
        <w:spacing w:line="360" w:lineRule="auto"/>
        <w:ind w:firstLine="420"/>
        <w:rPr>
          <w:rFonts w:ascii="宋体" w:hAnsi="宋体" w:cs="宋体"/>
          <w:kern w:val="1"/>
          <w:szCs w:val="21"/>
        </w:rPr>
      </w:pPr>
      <w:r>
        <w:rPr>
          <w:rFonts w:ascii="宋体" w:hAnsi="宋体" w:cs="宋体"/>
          <w:kern w:val="1"/>
          <w:szCs w:val="21"/>
        </w:rPr>
        <w:t>7、</w:t>
      </w:r>
      <w:r>
        <w:rPr>
          <w:rFonts w:hint="eastAsia" w:ascii="宋体" w:hAnsi="宋体" w:cs="宋体"/>
          <w:kern w:val="1"/>
          <w:szCs w:val="21"/>
        </w:rPr>
        <w:t>如投标方代表不是法定代表人，须持有《法定代表人授权委托书》。</w:t>
      </w:r>
    </w:p>
    <w:p>
      <w:pPr>
        <w:spacing w:line="360" w:lineRule="auto"/>
        <w:ind w:firstLine="420"/>
        <w:rPr>
          <w:rFonts w:ascii="宋体" w:hAnsi="宋体" w:cs="宋体"/>
          <w:kern w:val="1"/>
          <w:szCs w:val="21"/>
        </w:rPr>
      </w:pPr>
      <w:r>
        <w:rPr>
          <w:rFonts w:ascii="宋体" w:hAnsi="宋体" w:cs="宋体"/>
          <w:kern w:val="1"/>
          <w:szCs w:val="21"/>
        </w:rPr>
        <w:t>8、所有投标方资格文件由报名工作人员初审后，在评标过程中由评标小组复核，发现提供虚假资质报名的投标方，视为无效投标。</w:t>
      </w:r>
    </w:p>
    <w:p>
      <w:pPr>
        <w:spacing w:line="360" w:lineRule="auto"/>
        <w:ind w:firstLine="422"/>
        <w:rPr>
          <w:rFonts w:ascii="宋体" w:hAnsi="宋体" w:cs="宋体"/>
          <w:b/>
          <w:kern w:val="1"/>
          <w:szCs w:val="21"/>
        </w:rPr>
      </w:pPr>
      <w:bookmarkStart w:id="0" w:name="_Toc376522138"/>
      <w:bookmarkEnd w:id="0"/>
      <w:r>
        <w:rPr>
          <w:rFonts w:hint="eastAsia" w:ascii="宋体" w:hAnsi="宋体" w:cs="宋体"/>
          <w:b/>
          <w:kern w:val="1"/>
          <w:szCs w:val="21"/>
          <w:lang w:eastAsia="zh-CN"/>
        </w:rPr>
        <w:t>五</w:t>
      </w:r>
      <w:r>
        <w:rPr>
          <w:rFonts w:hint="eastAsia" w:ascii="宋体" w:hAnsi="宋体" w:cs="宋体"/>
          <w:b/>
          <w:kern w:val="1"/>
          <w:szCs w:val="21"/>
        </w:rPr>
        <w:t>、投标文件要求</w:t>
      </w:r>
    </w:p>
    <w:p>
      <w:pPr>
        <w:spacing w:line="360" w:lineRule="auto"/>
        <w:ind w:firstLine="420"/>
        <w:rPr>
          <w:rFonts w:ascii="宋体" w:hAnsi="宋体" w:cs="宋体"/>
          <w:kern w:val="1"/>
          <w:szCs w:val="21"/>
        </w:rPr>
      </w:pPr>
      <w:r>
        <w:rPr>
          <w:rFonts w:hint="eastAsia" w:ascii="宋体" w:hAnsi="宋体" w:cs="宋体"/>
          <w:kern w:val="1"/>
          <w:szCs w:val="21"/>
        </w:rPr>
        <w:t>投标文件必须为密封件，封套上需写明项目名称、投标单位名称及联系人方式并加盖公章。</w:t>
      </w:r>
    </w:p>
    <w:p>
      <w:pPr>
        <w:spacing w:line="360" w:lineRule="auto"/>
        <w:ind w:firstLine="420"/>
        <w:rPr>
          <w:rFonts w:ascii="宋体" w:hAnsi="宋体" w:cs="宋体"/>
          <w:kern w:val="1"/>
          <w:szCs w:val="21"/>
        </w:rPr>
      </w:pPr>
      <w:r>
        <w:rPr>
          <w:rFonts w:ascii="宋体" w:hAnsi="宋体" w:cs="宋体"/>
          <w:kern w:val="1"/>
          <w:szCs w:val="21"/>
        </w:rPr>
        <w:t>包括：</w:t>
      </w:r>
    </w:p>
    <w:p>
      <w:pPr>
        <w:spacing w:line="360" w:lineRule="auto"/>
        <w:ind w:firstLine="420"/>
        <w:rPr>
          <w:rFonts w:ascii="宋体" w:hAnsi="宋体" w:cs="宋体"/>
          <w:kern w:val="1"/>
          <w:szCs w:val="21"/>
        </w:rPr>
      </w:pPr>
      <w:r>
        <w:rPr>
          <w:rFonts w:ascii="宋体" w:hAnsi="宋体" w:cs="宋体"/>
          <w:kern w:val="1"/>
          <w:szCs w:val="21"/>
        </w:rPr>
        <w:t>1、报价及服务承诺；</w:t>
      </w:r>
    </w:p>
    <w:p>
      <w:pPr>
        <w:spacing w:line="360" w:lineRule="auto"/>
        <w:ind w:firstLine="420"/>
        <w:rPr>
          <w:rFonts w:ascii="宋体" w:hAnsi="宋体" w:cs="宋体"/>
          <w:kern w:val="1"/>
          <w:szCs w:val="21"/>
        </w:rPr>
      </w:pPr>
      <w:r>
        <w:rPr>
          <w:rFonts w:ascii="宋体" w:hAnsi="宋体" w:cs="宋体"/>
          <w:kern w:val="1"/>
          <w:szCs w:val="21"/>
        </w:rPr>
        <w:t>2、项目实施方案；</w:t>
      </w:r>
    </w:p>
    <w:p>
      <w:pPr>
        <w:spacing w:line="360" w:lineRule="auto"/>
        <w:ind w:firstLine="420"/>
        <w:rPr>
          <w:rFonts w:ascii="宋体" w:hAnsi="宋体" w:cs="宋体"/>
          <w:kern w:val="1"/>
          <w:szCs w:val="21"/>
        </w:rPr>
      </w:pPr>
      <w:r>
        <w:rPr>
          <w:rFonts w:hint="eastAsia" w:ascii="宋体" w:hAnsi="宋体" w:cs="宋体"/>
          <w:kern w:val="1"/>
          <w:szCs w:val="21"/>
        </w:rPr>
        <w:t>3、合同基本条款（按同类业务行业内通用合同文本格式、以及合同法的相关规定起草）；</w:t>
      </w:r>
    </w:p>
    <w:p>
      <w:pPr>
        <w:spacing w:line="360" w:lineRule="auto"/>
        <w:ind w:firstLine="420"/>
        <w:rPr>
          <w:rFonts w:ascii="宋体" w:hAnsi="宋体" w:cs="宋体"/>
          <w:kern w:val="1"/>
          <w:szCs w:val="21"/>
        </w:rPr>
      </w:pPr>
      <w:r>
        <w:rPr>
          <w:rFonts w:hint="eastAsia" w:ascii="宋体" w:hAnsi="宋体" w:cs="宋体"/>
          <w:kern w:val="1"/>
          <w:szCs w:val="21"/>
        </w:rPr>
        <w:t>4、所需提供的其他资料 (以下1-2项在投标文件中提供复印件,加盖单位公章，投标时原件备查) ：</w:t>
      </w:r>
    </w:p>
    <w:p>
      <w:pPr>
        <w:spacing w:line="360" w:lineRule="auto"/>
        <w:ind w:firstLine="420"/>
        <w:rPr>
          <w:rFonts w:ascii="宋体" w:hAnsi="宋体" w:cs="宋体"/>
          <w:kern w:val="1"/>
          <w:szCs w:val="21"/>
        </w:rPr>
      </w:pPr>
      <w:r>
        <w:rPr>
          <w:rFonts w:hint="eastAsia" w:ascii="宋体" w:hAnsi="宋体" w:cs="宋体"/>
          <w:kern w:val="1"/>
          <w:szCs w:val="21"/>
        </w:rPr>
        <w:t>（1）营业执照副本（经相关部门年检合格）、税务登记证副本、组织机构代码证（或三证合一件）（经相关部门年检合格）、一般纳税人证明、开户许可证；</w:t>
      </w:r>
    </w:p>
    <w:p>
      <w:pPr>
        <w:spacing w:line="360" w:lineRule="auto"/>
        <w:ind w:firstLine="420"/>
        <w:rPr>
          <w:rFonts w:ascii="宋体" w:hAnsi="宋体" w:cs="宋体"/>
          <w:kern w:val="1"/>
          <w:szCs w:val="21"/>
        </w:rPr>
      </w:pPr>
      <w:r>
        <w:rPr>
          <w:rFonts w:hint="eastAsia" w:ascii="宋体" w:hAnsi="宋体" w:cs="宋体"/>
          <w:kern w:val="1"/>
          <w:szCs w:val="21"/>
        </w:rPr>
        <w:t>（2）法人代表授权委托书及法人代表、受托人身份证；</w:t>
      </w:r>
    </w:p>
    <w:p>
      <w:pPr>
        <w:spacing w:line="360" w:lineRule="auto"/>
        <w:ind w:firstLine="420"/>
        <w:rPr>
          <w:rFonts w:ascii="宋体" w:hAnsi="宋体" w:cs="宋体"/>
          <w:kern w:val="1"/>
          <w:szCs w:val="21"/>
        </w:rPr>
      </w:pPr>
      <w:r>
        <w:rPr>
          <w:rFonts w:ascii="宋体" w:hAnsi="宋体" w:cs="宋体"/>
          <w:kern w:val="1"/>
          <w:szCs w:val="21"/>
        </w:rPr>
        <w:t>（3）本次项目规定的其他资格证明性文件</w:t>
      </w:r>
    </w:p>
    <w:p>
      <w:pPr>
        <w:spacing w:line="360" w:lineRule="auto"/>
        <w:ind w:firstLine="420"/>
        <w:rPr>
          <w:rFonts w:ascii="宋体" w:hAnsi="宋体" w:cs="宋体"/>
          <w:kern w:val="1"/>
          <w:szCs w:val="21"/>
        </w:rPr>
      </w:pPr>
      <w:r>
        <w:rPr>
          <w:rFonts w:ascii="宋体" w:hAnsi="宋体" w:cs="宋体"/>
          <w:kern w:val="1"/>
          <w:szCs w:val="21"/>
        </w:rPr>
        <w:t>（4）投标方认为需要提供的其它文件。</w:t>
      </w:r>
      <w:bookmarkStart w:id="1" w:name="_Hlt160182338"/>
      <w:bookmarkEnd w:id="1"/>
    </w:p>
    <w:p>
      <w:pPr>
        <w:spacing w:line="360" w:lineRule="auto"/>
        <w:ind w:firstLine="422"/>
        <w:rPr>
          <w:rFonts w:ascii="宋体" w:hAnsi="宋体" w:cs="宋体"/>
          <w:b/>
          <w:kern w:val="1"/>
          <w:szCs w:val="21"/>
        </w:rPr>
      </w:pPr>
      <w:bookmarkStart w:id="2" w:name="_Toc376522144"/>
      <w:bookmarkEnd w:id="2"/>
      <w:bookmarkStart w:id="3" w:name="_Hlt160182334"/>
      <w:bookmarkEnd w:id="3"/>
      <w:r>
        <w:rPr>
          <w:rFonts w:hint="eastAsia" w:ascii="宋体" w:hAnsi="宋体" w:cs="宋体"/>
          <w:b/>
          <w:kern w:val="1"/>
          <w:szCs w:val="21"/>
          <w:lang w:eastAsia="zh-CN"/>
        </w:rPr>
        <w:t>六</w:t>
      </w:r>
      <w:r>
        <w:rPr>
          <w:rFonts w:ascii="宋体" w:hAnsi="宋体" w:cs="宋体"/>
          <w:b/>
          <w:kern w:val="1"/>
          <w:szCs w:val="21"/>
        </w:rPr>
        <w:t>、评分标准</w:t>
      </w:r>
    </w:p>
    <w:p>
      <w:pPr>
        <w:spacing w:line="360" w:lineRule="auto"/>
        <w:ind w:firstLine="420"/>
        <w:rPr>
          <w:rFonts w:ascii="宋体" w:hAnsi="宋体" w:cs="宋体"/>
          <w:kern w:val="1"/>
          <w:szCs w:val="21"/>
        </w:rPr>
      </w:pPr>
      <w:r>
        <w:rPr>
          <w:rFonts w:ascii="宋体" w:hAnsi="宋体" w:cs="宋体"/>
          <w:kern w:val="1"/>
          <w:szCs w:val="21"/>
        </w:rPr>
        <w:t>（1）评标针对有效投标方进行价格、技术、商务方面评分，总为100分。</w:t>
      </w:r>
    </w:p>
    <w:p>
      <w:pPr>
        <w:spacing w:line="360" w:lineRule="auto"/>
        <w:ind w:firstLine="420"/>
        <w:rPr>
          <w:rFonts w:ascii="宋体" w:hAnsi="宋体" w:cs="宋体"/>
          <w:kern w:val="1"/>
          <w:szCs w:val="21"/>
        </w:rPr>
      </w:pPr>
      <w:r>
        <w:rPr>
          <w:rFonts w:ascii="宋体" w:hAnsi="宋体" w:cs="宋体"/>
          <w:kern w:val="1"/>
          <w:szCs w:val="21"/>
        </w:rPr>
        <w:t>（2）价格评标（满分30分）</w:t>
      </w:r>
    </w:p>
    <w:p>
      <w:pPr>
        <w:spacing w:line="360" w:lineRule="auto"/>
        <w:ind w:firstLine="420"/>
        <w:rPr>
          <w:rFonts w:ascii="宋体" w:hAnsi="宋体" w:cs="宋体"/>
          <w:kern w:val="1"/>
          <w:szCs w:val="21"/>
        </w:rPr>
      </w:pPr>
      <w:r>
        <w:rPr>
          <w:rFonts w:hint="eastAsia" w:ascii="宋体" w:hAnsi="宋体" w:cs="宋体"/>
          <w:kern w:val="1"/>
          <w:szCs w:val="21"/>
        </w:rPr>
        <w:t>以所有有效投标方报价的最低价为基准价。基准价以满分30分计，投标方投标报价得分=评标基准价/投标报价*30。</w:t>
      </w:r>
    </w:p>
    <w:p>
      <w:pPr>
        <w:spacing w:line="360" w:lineRule="auto"/>
        <w:ind w:firstLine="420"/>
      </w:pPr>
      <w:r>
        <w:rPr>
          <w:rFonts w:ascii="宋体" w:hAnsi="宋体" w:cs="宋体"/>
          <w:kern w:val="1"/>
          <w:szCs w:val="21"/>
        </w:rPr>
        <w:t>（3）技术评标、商务指标（满分70分）</w:t>
      </w:r>
      <w:bookmarkStart w:id="4" w:name="_GoBack"/>
      <w:bookmarkEnd w:id="4"/>
    </w:p>
    <w:tbl>
      <w:tblPr>
        <w:tblStyle w:val="8"/>
        <w:tblW w:w="0" w:type="auto"/>
        <w:tblInd w:w="0" w:type="dxa"/>
        <w:tblLayout w:type="fixed"/>
        <w:tblCellMar>
          <w:top w:w="0" w:type="dxa"/>
          <w:left w:w="108" w:type="dxa"/>
          <w:bottom w:w="0" w:type="dxa"/>
          <w:right w:w="108" w:type="dxa"/>
        </w:tblCellMar>
      </w:tblPr>
      <w:tblGrid>
        <w:gridCol w:w="698"/>
        <w:gridCol w:w="1213"/>
        <w:gridCol w:w="1085"/>
        <w:gridCol w:w="1514"/>
        <w:gridCol w:w="3846"/>
      </w:tblGrid>
      <w:tr>
        <w:tblPrEx>
          <w:tblCellMar>
            <w:top w:w="0" w:type="dxa"/>
            <w:left w:w="108" w:type="dxa"/>
            <w:bottom w:w="0" w:type="dxa"/>
            <w:right w:w="108" w:type="dxa"/>
          </w:tblCellMar>
        </w:tblPrEx>
        <w:tc>
          <w:tcPr>
            <w:tcW w:w="698" w:type="dxa"/>
            <w:tcBorders>
              <w:top w:val="single" w:color="000000" w:sz="4" w:space="0"/>
              <w:left w:val="single" w:color="000000" w:sz="4" w:space="0"/>
              <w:bottom w:val="single" w:color="auto" w:sz="4" w:space="0"/>
              <w:right w:val="single" w:color="000000" w:sz="4" w:space="0"/>
            </w:tcBorders>
            <w:noWrap w:val="0"/>
            <w:vAlign w:val="center"/>
          </w:tcPr>
          <w:p>
            <w:pPr>
              <w:pStyle w:val="15"/>
              <w:ind w:firstLine="0"/>
              <w:contextualSpacing/>
              <w:jc w:val="center"/>
              <w:rPr>
                <w:rFonts w:ascii="宋体" w:hAnsi="宋体" w:cs="宋体"/>
                <w:b/>
                <w:szCs w:val="21"/>
              </w:rPr>
            </w:pPr>
            <w:r>
              <w:rPr>
                <w:rFonts w:hint="eastAsia" w:ascii="宋体" w:hAnsi="宋体" w:cs="宋体"/>
                <w:b/>
                <w:szCs w:val="21"/>
              </w:rPr>
              <w:t>序号</w:t>
            </w:r>
          </w:p>
        </w:tc>
        <w:tc>
          <w:tcPr>
            <w:tcW w:w="1213" w:type="dxa"/>
            <w:tcBorders>
              <w:top w:val="single" w:color="000000" w:sz="4" w:space="0"/>
              <w:left w:val="single" w:color="000000" w:sz="4" w:space="0"/>
              <w:bottom w:val="single" w:color="auto" w:sz="4" w:space="0"/>
              <w:right w:val="single" w:color="000000" w:sz="4" w:space="0"/>
            </w:tcBorders>
            <w:noWrap w:val="0"/>
            <w:vAlign w:val="center"/>
          </w:tcPr>
          <w:p>
            <w:pPr>
              <w:pStyle w:val="15"/>
              <w:ind w:firstLine="0"/>
              <w:contextualSpacing/>
              <w:jc w:val="center"/>
              <w:rPr>
                <w:rFonts w:hint="eastAsia" w:ascii="宋体" w:hAnsi="宋体" w:cs="宋体"/>
                <w:b/>
                <w:szCs w:val="21"/>
              </w:rPr>
            </w:pPr>
            <w:r>
              <w:rPr>
                <w:rFonts w:hint="eastAsia" w:ascii="宋体" w:hAnsi="宋体" w:cs="宋体"/>
                <w:b/>
                <w:szCs w:val="21"/>
              </w:rPr>
              <w:t>分值</w:t>
            </w:r>
          </w:p>
        </w:tc>
        <w:tc>
          <w:tcPr>
            <w:tcW w:w="1085" w:type="dxa"/>
            <w:tcBorders>
              <w:top w:val="single" w:color="000000" w:sz="4" w:space="0"/>
              <w:left w:val="single" w:color="000000" w:sz="4" w:space="0"/>
              <w:bottom w:val="single" w:color="auto" w:sz="4" w:space="0"/>
              <w:right w:val="single" w:color="000000" w:sz="4" w:space="0"/>
            </w:tcBorders>
            <w:noWrap w:val="0"/>
            <w:vAlign w:val="center"/>
          </w:tcPr>
          <w:p>
            <w:pPr>
              <w:pStyle w:val="15"/>
              <w:ind w:firstLine="0"/>
              <w:contextualSpacing/>
              <w:jc w:val="center"/>
              <w:rPr>
                <w:rFonts w:ascii="宋体" w:hAnsi="宋体" w:cs="宋体"/>
                <w:b/>
                <w:szCs w:val="21"/>
              </w:rPr>
            </w:pPr>
            <w:r>
              <w:rPr>
                <w:rFonts w:hint="eastAsia" w:ascii="宋体" w:hAnsi="宋体" w:cs="宋体"/>
                <w:b/>
                <w:szCs w:val="21"/>
              </w:rPr>
              <w:t>评分</w:t>
            </w:r>
            <w:r>
              <w:rPr>
                <w:rFonts w:ascii="宋体" w:hAnsi="宋体" w:cs="宋体"/>
                <w:b/>
                <w:szCs w:val="21"/>
              </w:rPr>
              <w:t>项目</w:t>
            </w:r>
          </w:p>
        </w:tc>
        <w:tc>
          <w:tcPr>
            <w:tcW w:w="5360" w:type="dxa"/>
            <w:gridSpan w:val="2"/>
            <w:tcBorders>
              <w:top w:val="single" w:color="000000" w:sz="4" w:space="0"/>
              <w:left w:val="single" w:color="000000" w:sz="4" w:space="0"/>
              <w:bottom w:val="single" w:color="auto" w:sz="4" w:space="0"/>
              <w:right w:val="single" w:color="000000" w:sz="4" w:space="0"/>
            </w:tcBorders>
            <w:noWrap w:val="0"/>
            <w:vAlign w:val="center"/>
          </w:tcPr>
          <w:p>
            <w:pPr>
              <w:pStyle w:val="15"/>
              <w:ind w:firstLine="0"/>
              <w:contextualSpacing/>
              <w:jc w:val="center"/>
              <w:rPr>
                <w:rFonts w:ascii="宋体" w:hAnsi="宋体" w:cs="宋体"/>
                <w:b/>
                <w:szCs w:val="21"/>
              </w:rPr>
            </w:pPr>
            <w:r>
              <w:rPr>
                <w:rFonts w:hint="eastAsia" w:ascii="宋体" w:hAnsi="宋体" w:cs="宋体"/>
                <w:b/>
                <w:szCs w:val="21"/>
              </w:rPr>
              <w:t>评分标准</w:t>
            </w:r>
          </w:p>
        </w:tc>
      </w:tr>
      <w:tr>
        <w:tblPrEx>
          <w:tblCellMar>
            <w:top w:w="0" w:type="dxa"/>
            <w:left w:w="108" w:type="dxa"/>
            <w:bottom w:w="0" w:type="dxa"/>
            <w:right w:w="108" w:type="dxa"/>
          </w:tblCellMar>
        </w:tblPrEx>
        <w:trPr>
          <w:trHeight w:val="656" w:hRule="atLeast"/>
        </w:trPr>
        <w:tc>
          <w:tcPr>
            <w:tcW w:w="698" w:type="dxa"/>
            <w:vMerge w:val="restart"/>
            <w:tcBorders>
              <w:top w:val="single" w:color="auto" w:sz="4" w:space="0"/>
              <w:left w:val="single" w:color="auto" w:sz="4" w:space="0"/>
              <w:right w:val="single" w:color="auto" w:sz="4" w:space="0"/>
            </w:tcBorders>
            <w:noWrap w:val="0"/>
            <w:vAlign w:val="center"/>
          </w:tcPr>
          <w:p>
            <w:pPr>
              <w:pStyle w:val="15"/>
              <w:ind w:firstLine="0" w:firstLineChars="0"/>
              <w:contextualSpacing/>
              <w:jc w:val="center"/>
              <w:rPr>
                <w:rFonts w:ascii="宋体" w:hAnsi="宋体" w:eastAsia="宋体" w:cs="宋体"/>
                <w:kern w:val="1"/>
                <w:sz w:val="21"/>
                <w:szCs w:val="21"/>
                <w:lang w:val="en-US" w:eastAsia="zh-CN" w:bidi="ar-SA"/>
              </w:rPr>
            </w:pPr>
            <w:r>
              <w:rPr>
                <w:rFonts w:hint="eastAsia" w:ascii="宋体" w:hAnsi="宋体" w:cs="宋体"/>
                <w:szCs w:val="21"/>
              </w:rPr>
              <w:t>1</w:t>
            </w:r>
          </w:p>
        </w:tc>
        <w:tc>
          <w:tcPr>
            <w:tcW w:w="1213" w:type="dxa"/>
            <w:vMerge w:val="restart"/>
            <w:tcBorders>
              <w:top w:val="single" w:color="auto" w:sz="4" w:space="0"/>
              <w:left w:val="single" w:color="auto" w:sz="4" w:space="0"/>
              <w:right w:val="single" w:color="auto" w:sz="4" w:space="0"/>
            </w:tcBorders>
            <w:noWrap w:val="0"/>
            <w:vAlign w:val="center"/>
          </w:tcPr>
          <w:p>
            <w:pPr>
              <w:pStyle w:val="15"/>
              <w:ind w:firstLine="0"/>
              <w:contextualSpacing/>
              <w:jc w:val="center"/>
              <w:rPr>
                <w:rFonts w:hint="eastAsia" w:ascii="宋体" w:hAnsi="宋体" w:cs="宋体"/>
                <w:szCs w:val="21"/>
              </w:rPr>
            </w:pPr>
            <w:r>
              <w:rPr>
                <w:rFonts w:hint="eastAsia" w:ascii="宋体" w:hAnsi="宋体" w:cs="宋体"/>
                <w:szCs w:val="21"/>
              </w:rPr>
              <w:t>技术</w:t>
            </w:r>
          </w:p>
          <w:p>
            <w:pPr>
              <w:pStyle w:val="15"/>
              <w:ind w:firstLine="0"/>
              <w:contextualSpacing/>
              <w:jc w:val="center"/>
              <w:rPr>
                <w:rFonts w:hint="eastAsia" w:ascii="宋体" w:hAnsi="宋体" w:cs="宋体"/>
                <w:szCs w:val="21"/>
              </w:rPr>
            </w:pPr>
            <w:r>
              <w:rPr>
                <w:rFonts w:hint="eastAsia" w:ascii="宋体" w:hAnsi="宋体" w:cs="宋体"/>
                <w:szCs w:val="21"/>
              </w:rPr>
              <w:t>部分</w:t>
            </w:r>
          </w:p>
          <w:p>
            <w:pPr>
              <w:pStyle w:val="15"/>
              <w:ind w:firstLine="0"/>
              <w:contextualSpacing/>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60</w:t>
            </w:r>
            <w:r>
              <w:rPr>
                <w:rFonts w:hint="eastAsia" w:ascii="宋体" w:hAnsi="宋体" w:cs="宋体"/>
                <w:szCs w:val="21"/>
              </w:rPr>
              <w:t>分）</w:t>
            </w:r>
          </w:p>
        </w:tc>
        <w:tc>
          <w:tcPr>
            <w:tcW w:w="1085" w:type="dxa"/>
            <w:vMerge w:val="restart"/>
            <w:tcBorders>
              <w:top w:val="single" w:color="auto" w:sz="4" w:space="0"/>
              <w:left w:val="single" w:color="auto" w:sz="4" w:space="0"/>
              <w:right w:val="single" w:color="auto" w:sz="4" w:space="0"/>
            </w:tcBorders>
            <w:noWrap w:val="0"/>
            <w:vAlign w:val="center"/>
          </w:tcPr>
          <w:p>
            <w:pPr>
              <w:pStyle w:val="15"/>
              <w:ind w:firstLine="0"/>
              <w:contextualSpacing/>
              <w:jc w:val="center"/>
              <w:rPr>
                <w:rFonts w:hint="eastAsia" w:ascii="宋体" w:hAnsi="宋体" w:cs="宋体"/>
                <w:szCs w:val="21"/>
              </w:rPr>
            </w:pPr>
            <w:r>
              <w:rPr>
                <w:rFonts w:hint="eastAsia" w:ascii="宋体" w:hAnsi="宋体" w:cs="宋体"/>
                <w:szCs w:val="21"/>
              </w:rPr>
              <w:t>方案设计</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hint="eastAsia" w:ascii="宋体" w:hAnsi="宋体" w:eastAsia="宋体" w:cs="宋体"/>
                <w:color w:val="auto"/>
                <w:szCs w:val="21"/>
                <w:lang w:eastAsia="zh-CN"/>
              </w:rPr>
            </w:pPr>
            <w:r>
              <w:rPr>
                <w:rFonts w:hint="eastAsia" w:ascii="宋体" w:hAnsi="宋体" w:cs="宋体"/>
                <w:color w:val="auto"/>
                <w:szCs w:val="21"/>
              </w:rPr>
              <w:t>方案演示</w:t>
            </w:r>
            <w:r>
              <w:rPr>
                <w:rFonts w:hint="eastAsia" w:ascii="宋体" w:hAnsi="宋体" w:cs="宋体"/>
                <w:color w:val="auto"/>
                <w:szCs w:val="21"/>
                <w:lang w:eastAsia="zh-CN"/>
              </w:rPr>
              <w:t>（</w:t>
            </w:r>
            <w:r>
              <w:rPr>
                <w:rFonts w:hint="eastAsia" w:ascii="宋体" w:hAnsi="宋体" w:cs="宋体"/>
                <w:color w:val="auto"/>
                <w:szCs w:val="21"/>
                <w:lang w:val="en-US" w:eastAsia="zh-CN"/>
              </w:rPr>
              <w:t>15分</w:t>
            </w:r>
            <w:r>
              <w:rPr>
                <w:rFonts w:hint="eastAsia" w:ascii="宋体" w:hAnsi="宋体" w:cs="宋体"/>
                <w:color w:val="auto"/>
                <w:szCs w:val="21"/>
                <w:lang w:eastAsia="zh-CN"/>
              </w:rPr>
              <w:t>）</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hint="default" w:ascii="宋体" w:hAnsi="宋体" w:eastAsia="宋体" w:cs="宋体"/>
                <w:szCs w:val="21"/>
                <w:lang w:val="en-US" w:eastAsia="zh-CN"/>
              </w:rPr>
            </w:pPr>
            <w:r>
              <w:rPr>
                <w:rFonts w:hint="eastAsia" w:ascii="宋体" w:hAnsi="宋体" w:cs="宋体"/>
                <w:szCs w:val="21"/>
                <w:lang w:eastAsia="zh-CN"/>
              </w:rPr>
              <w:t>分三档，优11-15分，良6-10分，一般1-5分，无方案演示的不得分</w:t>
            </w:r>
          </w:p>
        </w:tc>
      </w:tr>
      <w:tr>
        <w:tblPrEx>
          <w:tblCellMar>
            <w:top w:w="0" w:type="dxa"/>
            <w:left w:w="108" w:type="dxa"/>
            <w:bottom w:w="0" w:type="dxa"/>
            <w:right w:w="108" w:type="dxa"/>
          </w:tblCellMar>
        </w:tblPrEx>
        <w:trPr>
          <w:trHeight w:val="656" w:hRule="atLeast"/>
        </w:trPr>
        <w:tc>
          <w:tcPr>
            <w:tcW w:w="698" w:type="dxa"/>
            <w:vMerge w:val="continue"/>
            <w:tcBorders>
              <w:left w:val="single" w:color="auto" w:sz="4" w:space="0"/>
              <w:right w:val="single" w:color="auto" w:sz="4" w:space="0"/>
            </w:tcBorders>
            <w:noWrap w:val="0"/>
            <w:vAlign w:val="center"/>
          </w:tcPr>
          <w:p>
            <w:pPr>
              <w:pStyle w:val="15"/>
              <w:ind w:firstLine="0"/>
              <w:contextualSpacing/>
              <w:jc w:val="center"/>
              <w:rPr>
                <w:rFonts w:ascii="宋体" w:hAnsi="宋体" w:cs="宋体"/>
                <w:szCs w:val="21"/>
              </w:rPr>
            </w:pPr>
          </w:p>
        </w:tc>
        <w:tc>
          <w:tcPr>
            <w:tcW w:w="1213" w:type="dxa"/>
            <w:vMerge w:val="continue"/>
            <w:tcBorders>
              <w:left w:val="single" w:color="auto" w:sz="4" w:space="0"/>
              <w:right w:val="single" w:color="auto" w:sz="4" w:space="0"/>
            </w:tcBorders>
            <w:noWrap w:val="0"/>
            <w:vAlign w:val="center"/>
          </w:tcPr>
          <w:p>
            <w:pPr>
              <w:pStyle w:val="15"/>
              <w:ind w:firstLine="0"/>
              <w:contextualSpacing/>
              <w:rPr>
                <w:rFonts w:hint="eastAsia" w:ascii="宋体" w:hAnsi="宋体" w:cs="宋体"/>
                <w:szCs w:val="21"/>
              </w:rPr>
            </w:pPr>
          </w:p>
        </w:tc>
        <w:tc>
          <w:tcPr>
            <w:tcW w:w="1085" w:type="dxa"/>
            <w:vMerge w:val="continue"/>
            <w:tcBorders>
              <w:left w:val="single" w:color="auto" w:sz="4" w:space="0"/>
              <w:right w:val="single" w:color="auto" w:sz="4" w:space="0"/>
            </w:tcBorders>
            <w:noWrap w:val="0"/>
            <w:vAlign w:val="center"/>
          </w:tcPr>
          <w:p>
            <w:pPr>
              <w:pStyle w:val="15"/>
              <w:ind w:firstLine="0"/>
              <w:contextualSpacing/>
              <w:jc w:val="center"/>
              <w:rPr>
                <w:rFonts w:hint="eastAsia" w:ascii="宋体" w:hAnsi="宋体" w:cs="宋体"/>
                <w:szCs w:val="21"/>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hint="eastAsia" w:ascii="宋体" w:hAnsi="宋体" w:cs="宋体"/>
                <w:color w:val="auto"/>
                <w:szCs w:val="21"/>
              </w:rPr>
            </w:pPr>
            <w:r>
              <w:rPr>
                <w:rFonts w:hint="eastAsia" w:ascii="宋体" w:hAnsi="宋体" w:cs="宋体"/>
                <w:color w:val="auto"/>
                <w:szCs w:val="21"/>
              </w:rPr>
              <w:t>投标</w:t>
            </w:r>
            <w:r>
              <w:rPr>
                <w:rFonts w:ascii="宋体" w:hAnsi="宋体" w:cs="宋体"/>
                <w:color w:val="auto"/>
                <w:szCs w:val="21"/>
              </w:rPr>
              <w:t>文件</w:t>
            </w:r>
            <w:r>
              <w:rPr>
                <w:rFonts w:hint="eastAsia" w:ascii="宋体" w:hAnsi="宋体" w:cs="宋体"/>
                <w:color w:val="auto"/>
                <w:szCs w:val="21"/>
              </w:rPr>
              <w:t>质量</w:t>
            </w:r>
          </w:p>
          <w:p>
            <w:pPr>
              <w:pStyle w:val="15"/>
              <w:ind w:firstLine="0"/>
              <w:contextualSpacing/>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10</w:t>
            </w:r>
            <w:r>
              <w:rPr>
                <w:rFonts w:hint="eastAsia" w:ascii="宋体" w:hAnsi="宋体" w:cs="宋体"/>
                <w:color w:val="auto"/>
                <w:szCs w:val="21"/>
              </w:rPr>
              <w:t>分）</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ascii="宋体" w:hAnsi="宋体" w:cs="宋体"/>
                <w:szCs w:val="21"/>
              </w:rPr>
            </w:pPr>
            <w:r>
              <w:rPr>
                <w:rFonts w:hint="eastAsia" w:ascii="宋体" w:hAnsi="宋体" w:cs="宋体"/>
                <w:szCs w:val="21"/>
              </w:rPr>
              <w:t>针对</w:t>
            </w:r>
            <w:r>
              <w:rPr>
                <w:rFonts w:ascii="宋体" w:hAnsi="宋体" w:cs="宋体"/>
                <w:szCs w:val="21"/>
              </w:rPr>
              <w:t>招标文件，</w:t>
            </w:r>
            <w:r>
              <w:rPr>
                <w:rFonts w:hint="eastAsia" w:ascii="宋体" w:hAnsi="宋体" w:cs="宋体"/>
                <w:szCs w:val="21"/>
              </w:rPr>
              <w:t>标书制作</w:t>
            </w:r>
            <w:r>
              <w:rPr>
                <w:rFonts w:ascii="宋体" w:hAnsi="宋体" w:cs="宋体"/>
                <w:szCs w:val="21"/>
              </w:rPr>
              <w:t>规范，</w:t>
            </w:r>
            <w:r>
              <w:rPr>
                <w:rFonts w:hint="eastAsia" w:ascii="宋体" w:hAnsi="宋体" w:cs="宋体"/>
                <w:szCs w:val="21"/>
              </w:rPr>
              <w:t>项目</w:t>
            </w:r>
            <w:r>
              <w:rPr>
                <w:rFonts w:ascii="宋体" w:hAnsi="宋体" w:cs="宋体"/>
                <w:szCs w:val="21"/>
              </w:rPr>
              <w:t>清晰</w:t>
            </w:r>
            <w:r>
              <w:rPr>
                <w:rFonts w:hint="eastAsia" w:ascii="宋体" w:hAnsi="宋体" w:cs="宋体"/>
                <w:szCs w:val="21"/>
              </w:rPr>
              <w:t>，</w:t>
            </w:r>
            <w:r>
              <w:rPr>
                <w:rFonts w:ascii="宋体" w:hAnsi="宋体" w:cs="宋体"/>
                <w:szCs w:val="21"/>
              </w:rPr>
              <w:t>内容完整的得</w:t>
            </w:r>
            <w:r>
              <w:rPr>
                <w:rFonts w:hint="eastAsia" w:ascii="宋体" w:hAnsi="宋体" w:cs="宋体"/>
                <w:szCs w:val="21"/>
                <w:lang w:val="en-US" w:eastAsia="zh-CN"/>
              </w:rPr>
              <w:t>10</w:t>
            </w:r>
            <w:r>
              <w:rPr>
                <w:rFonts w:hint="eastAsia" w:ascii="宋体" w:hAnsi="宋体" w:cs="宋体"/>
                <w:szCs w:val="21"/>
              </w:rPr>
              <w:t>分，良</w:t>
            </w:r>
            <w:r>
              <w:rPr>
                <w:rFonts w:ascii="宋体" w:hAnsi="宋体" w:cs="宋体"/>
                <w:szCs w:val="21"/>
              </w:rPr>
              <w:t>得</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分</w:t>
            </w:r>
            <w:r>
              <w:rPr>
                <w:rFonts w:ascii="宋体" w:hAnsi="宋体" w:cs="宋体"/>
                <w:szCs w:val="21"/>
              </w:rPr>
              <w:t>，一般得</w:t>
            </w:r>
            <w:r>
              <w:rPr>
                <w:rFonts w:hint="eastAsia" w:ascii="宋体" w:hAnsi="宋体" w:cs="宋体"/>
                <w:szCs w:val="21"/>
              </w:rPr>
              <w:t>0-</w:t>
            </w:r>
            <w:r>
              <w:rPr>
                <w:rFonts w:hint="eastAsia" w:ascii="宋体" w:hAnsi="宋体" w:cs="宋体"/>
                <w:szCs w:val="21"/>
                <w:lang w:val="en-US" w:eastAsia="zh-CN"/>
              </w:rPr>
              <w:t>5</w:t>
            </w:r>
            <w:r>
              <w:rPr>
                <w:rFonts w:hint="eastAsia" w:ascii="宋体" w:hAnsi="宋体" w:cs="宋体"/>
                <w:szCs w:val="21"/>
              </w:rPr>
              <w:t>分。</w:t>
            </w:r>
          </w:p>
        </w:tc>
      </w:tr>
      <w:tr>
        <w:tblPrEx>
          <w:tblCellMar>
            <w:top w:w="0" w:type="dxa"/>
            <w:left w:w="108" w:type="dxa"/>
            <w:bottom w:w="0" w:type="dxa"/>
            <w:right w:w="108" w:type="dxa"/>
          </w:tblCellMar>
        </w:tblPrEx>
        <w:trPr>
          <w:trHeight w:val="570" w:hRule="atLeast"/>
        </w:trPr>
        <w:tc>
          <w:tcPr>
            <w:tcW w:w="698" w:type="dxa"/>
            <w:vMerge w:val="continue"/>
            <w:tcBorders>
              <w:left w:val="single" w:color="auto" w:sz="4" w:space="0"/>
              <w:right w:val="single" w:color="auto" w:sz="4" w:space="0"/>
            </w:tcBorders>
            <w:noWrap w:val="0"/>
            <w:vAlign w:val="center"/>
          </w:tcPr>
          <w:p>
            <w:pPr>
              <w:jc w:val="left"/>
              <w:rPr>
                <w:rFonts w:ascii="宋体" w:hAnsi="宋体" w:cs="宋体"/>
                <w:color w:val="FF0000"/>
                <w:szCs w:val="21"/>
              </w:rPr>
            </w:pPr>
          </w:p>
        </w:tc>
        <w:tc>
          <w:tcPr>
            <w:tcW w:w="1213" w:type="dxa"/>
            <w:vMerge w:val="continue"/>
            <w:tcBorders>
              <w:left w:val="single" w:color="auto" w:sz="4" w:space="0"/>
              <w:right w:val="single" w:color="auto" w:sz="4" w:space="0"/>
            </w:tcBorders>
            <w:noWrap w:val="0"/>
            <w:vAlign w:val="center"/>
          </w:tcPr>
          <w:p>
            <w:pPr>
              <w:jc w:val="left"/>
              <w:rPr>
                <w:rFonts w:ascii="宋体" w:hAnsi="宋体" w:cs="宋体"/>
                <w:color w:val="FF0000"/>
                <w:szCs w:val="21"/>
              </w:rPr>
            </w:pPr>
          </w:p>
        </w:tc>
        <w:tc>
          <w:tcPr>
            <w:tcW w:w="1085" w:type="dxa"/>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color w:val="FF0000"/>
                <w:szCs w:val="21"/>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hint="eastAsia" w:ascii="宋体" w:hAnsi="宋体" w:cs="宋体"/>
                <w:color w:val="auto"/>
                <w:szCs w:val="21"/>
              </w:rPr>
            </w:pPr>
            <w:r>
              <w:rPr>
                <w:rFonts w:hint="eastAsia" w:ascii="宋体" w:hAnsi="宋体" w:cs="宋体"/>
                <w:color w:val="auto"/>
                <w:szCs w:val="21"/>
              </w:rPr>
              <w:t>项目实施方案</w:t>
            </w:r>
          </w:p>
          <w:p>
            <w:pPr>
              <w:pStyle w:val="15"/>
              <w:ind w:firstLine="0"/>
              <w:contextualSpacing/>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0</w:t>
            </w:r>
            <w:r>
              <w:rPr>
                <w:rFonts w:hint="eastAsia" w:ascii="宋体" w:hAnsi="宋体" w:cs="宋体"/>
                <w:color w:val="auto"/>
                <w:szCs w:val="21"/>
              </w:rPr>
              <w:t>分）</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kern w:val="1"/>
                <w:szCs w:val="21"/>
              </w:rPr>
              <w:t>根据招标文件采购要求，投标人提供的组织施工方案、完善可实施的验收方案针对招标文件的免费培训服务要求所做的具体培训方案是否合理、各工作方案内容是否完整且切实可行酌情给分。</w:t>
            </w:r>
            <w:r>
              <w:rPr>
                <w:rFonts w:ascii="宋体" w:hAnsi="宋体" w:cs="宋体"/>
                <w:szCs w:val="21"/>
              </w:rPr>
              <w:t>内容完整的得</w:t>
            </w: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分，良</w:t>
            </w:r>
            <w:r>
              <w:rPr>
                <w:rFonts w:ascii="宋体" w:hAnsi="宋体" w:cs="宋体"/>
                <w:szCs w:val="21"/>
              </w:rPr>
              <w:t>得</w:t>
            </w:r>
            <w:r>
              <w:rPr>
                <w:rFonts w:hint="eastAsia" w:ascii="宋体" w:hAnsi="宋体" w:cs="宋体"/>
                <w:szCs w:val="21"/>
                <w:lang w:val="en-US" w:eastAsia="zh-CN"/>
              </w:rPr>
              <w:t>12</w:t>
            </w:r>
            <w:r>
              <w:rPr>
                <w:rFonts w:hint="eastAsia" w:ascii="宋体" w:hAnsi="宋体" w:cs="宋体"/>
                <w:szCs w:val="21"/>
              </w:rPr>
              <w:t>-</w:t>
            </w:r>
            <w:r>
              <w:rPr>
                <w:rFonts w:hint="eastAsia" w:ascii="宋体" w:hAnsi="宋体" w:cs="宋体"/>
                <w:szCs w:val="21"/>
                <w:lang w:val="en-US" w:eastAsia="zh-CN"/>
              </w:rPr>
              <w:t>19</w:t>
            </w:r>
            <w:r>
              <w:rPr>
                <w:rFonts w:hint="eastAsia" w:ascii="宋体" w:hAnsi="宋体" w:cs="宋体"/>
                <w:szCs w:val="21"/>
              </w:rPr>
              <w:t>分</w:t>
            </w:r>
            <w:r>
              <w:rPr>
                <w:rFonts w:ascii="宋体" w:hAnsi="宋体" w:cs="宋体"/>
                <w:szCs w:val="21"/>
              </w:rPr>
              <w:t>，一般得</w:t>
            </w:r>
            <w:r>
              <w:rPr>
                <w:rFonts w:hint="eastAsia" w:ascii="宋体" w:hAnsi="宋体" w:cs="宋体"/>
                <w:szCs w:val="21"/>
              </w:rPr>
              <w:t>0-1</w:t>
            </w:r>
            <w:r>
              <w:rPr>
                <w:rFonts w:hint="eastAsia" w:ascii="宋体" w:hAnsi="宋体" w:cs="宋体"/>
                <w:szCs w:val="21"/>
                <w:lang w:val="en-US" w:eastAsia="zh-CN"/>
              </w:rPr>
              <w:t>1</w:t>
            </w:r>
            <w:r>
              <w:rPr>
                <w:rFonts w:hint="eastAsia" w:ascii="宋体" w:hAnsi="宋体" w:cs="宋体"/>
                <w:szCs w:val="21"/>
              </w:rPr>
              <w:t>分。</w:t>
            </w:r>
          </w:p>
        </w:tc>
      </w:tr>
      <w:tr>
        <w:tblPrEx>
          <w:tblCellMar>
            <w:top w:w="0" w:type="dxa"/>
            <w:left w:w="108" w:type="dxa"/>
            <w:bottom w:w="0" w:type="dxa"/>
            <w:right w:w="108" w:type="dxa"/>
          </w:tblCellMar>
        </w:tblPrEx>
        <w:trPr>
          <w:trHeight w:val="570" w:hRule="atLeast"/>
        </w:trPr>
        <w:tc>
          <w:tcPr>
            <w:tcW w:w="698" w:type="dxa"/>
            <w:vMerge w:val="continue"/>
            <w:tcBorders>
              <w:left w:val="single" w:color="auto" w:sz="4" w:space="0"/>
              <w:right w:val="single" w:color="auto" w:sz="4" w:space="0"/>
            </w:tcBorders>
            <w:noWrap w:val="0"/>
            <w:vAlign w:val="center"/>
          </w:tcPr>
          <w:p>
            <w:pPr>
              <w:jc w:val="left"/>
              <w:rPr>
                <w:rFonts w:ascii="宋体" w:hAnsi="宋体" w:cs="宋体"/>
                <w:color w:val="FF0000"/>
                <w:szCs w:val="21"/>
              </w:rPr>
            </w:pPr>
          </w:p>
        </w:tc>
        <w:tc>
          <w:tcPr>
            <w:tcW w:w="1213" w:type="dxa"/>
            <w:vMerge w:val="continue"/>
            <w:tcBorders>
              <w:left w:val="single" w:color="auto" w:sz="4" w:space="0"/>
              <w:right w:val="single" w:color="auto" w:sz="4" w:space="0"/>
            </w:tcBorders>
            <w:noWrap w:val="0"/>
            <w:vAlign w:val="center"/>
          </w:tcPr>
          <w:p>
            <w:pPr>
              <w:jc w:val="left"/>
              <w:rPr>
                <w:rFonts w:ascii="宋体" w:hAnsi="宋体" w:cs="宋体"/>
                <w:color w:val="FF0000"/>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FF0000"/>
                <w:szCs w:val="21"/>
              </w:rPr>
            </w:pPr>
            <w:r>
              <w:rPr>
                <w:rFonts w:hint="eastAsia" w:ascii="宋体" w:hAnsi="宋体" w:cs="宋体"/>
                <w:szCs w:val="21"/>
              </w:rPr>
              <w:t>项目团队</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hint="eastAsia" w:ascii="宋体" w:hAnsi="宋体" w:cs="宋体"/>
                <w:szCs w:val="21"/>
              </w:rPr>
            </w:pPr>
            <w:r>
              <w:rPr>
                <w:rFonts w:hint="eastAsia" w:ascii="宋体" w:hAnsi="宋体" w:cs="宋体"/>
                <w:szCs w:val="21"/>
              </w:rPr>
              <w:t>服务团队的人员配备以及开发团队的专业能力</w:t>
            </w:r>
          </w:p>
          <w:p>
            <w:pPr>
              <w:pStyle w:val="15"/>
              <w:ind w:firstLine="0"/>
              <w:contextualSpacing/>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分）</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Cs w:val="21"/>
              </w:rPr>
            </w:pPr>
            <w:r>
              <w:rPr>
                <w:rFonts w:hint="eastAsia" w:ascii="宋体" w:hAnsi="宋体" w:cs="宋体"/>
                <w:szCs w:val="21"/>
              </w:rPr>
              <w:t>配备项目负责人、技术负责人、</w:t>
            </w:r>
            <w:r>
              <w:rPr>
                <w:rFonts w:hint="eastAsia" w:ascii="宋体" w:hAnsi="宋体" w:cs="宋体"/>
                <w:szCs w:val="21"/>
                <w:lang w:eastAsia="zh-CN"/>
              </w:rPr>
              <w:t>实施</w:t>
            </w:r>
            <w:r>
              <w:rPr>
                <w:rFonts w:hint="eastAsia" w:ascii="宋体" w:hAnsi="宋体" w:cs="宋体"/>
                <w:szCs w:val="21"/>
              </w:rPr>
              <w:t>服务人员等。项目负责人员同时具备高级项目管理（PMP）认证证书；</w:t>
            </w:r>
          </w:p>
          <w:p>
            <w:pPr>
              <w:spacing w:line="360" w:lineRule="auto"/>
              <w:jc w:val="left"/>
              <w:rPr>
                <w:rFonts w:hint="eastAsia" w:ascii="宋体" w:hAnsi="宋体" w:cs="宋体"/>
                <w:szCs w:val="21"/>
              </w:rPr>
            </w:pPr>
            <w:r>
              <w:rPr>
                <w:rFonts w:hint="eastAsia" w:ascii="宋体" w:hAnsi="宋体" w:cs="宋体"/>
                <w:kern w:val="1"/>
                <w:szCs w:val="21"/>
              </w:rPr>
              <w:t>提供《人员配备表》及人员相关证书，最高1</w:t>
            </w:r>
            <w:r>
              <w:rPr>
                <w:rFonts w:hint="eastAsia" w:ascii="宋体" w:hAnsi="宋体" w:cs="宋体"/>
                <w:kern w:val="1"/>
                <w:szCs w:val="21"/>
                <w:lang w:val="en-US" w:eastAsia="zh-CN"/>
              </w:rPr>
              <w:t>0</w:t>
            </w:r>
            <w:r>
              <w:rPr>
                <w:rFonts w:hint="eastAsia" w:ascii="宋体" w:hAnsi="宋体" w:cs="宋体"/>
                <w:kern w:val="1"/>
                <w:szCs w:val="21"/>
              </w:rPr>
              <w:t>分；提供证书复印件得分，不提供则不得分。</w:t>
            </w:r>
          </w:p>
        </w:tc>
      </w:tr>
      <w:tr>
        <w:tblPrEx>
          <w:tblCellMar>
            <w:top w:w="0" w:type="dxa"/>
            <w:left w:w="108" w:type="dxa"/>
            <w:bottom w:w="0" w:type="dxa"/>
            <w:right w:w="108" w:type="dxa"/>
          </w:tblCellMar>
        </w:tblPrEx>
        <w:trPr>
          <w:trHeight w:val="570" w:hRule="atLeast"/>
        </w:trPr>
        <w:tc>
          <w:tcPr>
            <w:tcW w:w="698" w:type="dxa"/>
            <w:vMerge w:val="continue"/>
            <w:tcBorders>
              <w:left w:val="single" w:color="auto" w:sz="4" w:space="0"/>
              <w:bottom w:val="single" w:color="auto" w:sz="4" w:space="0"/>
              <w:right w:val="single" w:color="auto" w:sz="4" w:space="0"/>
            </w:tcBorders>
            <w:noWrap w:val="0"/>
            <w:vAlign w:val="center"/>
          </w:tcPr>
          <w:p>
            <w:pPr>
              <w:pStyle w:val="15"/>
              <w:ind w:firstLine="0" w:firstLineChars="0"/>
              <w:contextualSpacing/>
              <w:jc w:val="center"/>
              <w:rPr>
                <w:rFonts w:ascii="宋体" w:hAnsi="宋体" w:eastAsia="宋体" w:cs="宋体"/>
                <w:kern w:val="1"/>
                <w:sz w:val="21"/>
                <w:szCs w:val="21"/>
                <w:lang w:val="en-US" w:eastAsia="zh-CN" w:bidi="ar-SA"/>
              </w:rPr>
            </w:pPr>
          </w:p>
        </w:tc>
        <w:tc>
          <w:tcPr>
            <w:tcW w:w="1213" w:type="dxa"/>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color w:val="FF0000"/>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cs="宋体"/>
                <w:szCs w:val="21"/>
                <w:lang w:eastAsia="zh-CN"/>
              </w:rPr>
              <w:t>项目熟悉程度</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pStyle w:val="15"/>
              <w:ind w:firstLine="0"/>
              <w:contextualSpacing/>
              <w:rPr>
                <w:rFonts w:hint="eastAsia" w:ascii="宋体" w:hAnsi="宋体" w:eastAsia="宋体" w:cs="宋体"/>
                <w:szCs w:val="21"/>
                <w:lang w:eastAsia="zh-CN"/>
              </w:rPr>
            </w:pPr>
            <w:r>
              <w:rPr>
                <w:rFonts w:hint="eastAsia" w:ascii="宋体" w:hAnsi="宋体" w:cs="宋体"/>
                <w:szCs w:val="21"/>
                <w:lang w:eastAsia="zh-CN"/>
              </w:rPr>
              <w:t>对需要数转的项目的熟悉程度（</w:t>
            </w:r>
            <w:r>
              <w:rPr>
                <w:rFonts w:hint="eastAsia" w:ascii="宋体" w:hAnsi="宋体" w:cs="宋体"/>
                <w:szCs w:val="21"/>
                <w:lang w:val="en-US" w:eastAsia="zh-CN"/>
              </w:rPr>
              <w:t>5分</w:t>
            </w:r>
            <w:r>
              <w:rPr>
                <w:rFonts w:hint="eastAsia" w:ascii="宋体" w:hAnsi="宋体" w:cs="宋体"/>
                <w:szCs w:val="21"/>
                <w:lang w:eastAsia="zh-CN"/>
              </w:rPr>
              <w:t>）</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宋体"/>
                <w:kern w:val="1"/>
                <w:szCs w:val="21"/>
                <w:lang w:val="en-US" w:eastAsia="zh-CN"/>
              </w:rPr>
            </w:pPr>
            <w:r>
              <w:rPr>
                <w:rFonts w:hint="eastAsia" w:ascii="宋体" w:hAnsi="宋体" w:cs="宋体"/>
                <w:kern w:val="1"/>
                <w:szCs w:val="21"/>
                <w:lang w:eastAsia="zh-CN"/>
              </w:rPr>
              <w:t>对需数转的项目业务的熟悉程度，以及对数转项目数据库的熟悉程度。能迅速学习和掌握数转项目的各项内容得</w:t>
            </w:r>
            <w:r>
              <w:rPr>
                <w:rFonts w:hint="eastAsia" w:ascii="宋体" w:hAnsi="宋体" w:cs="宋体"/>
                <w:kern w:val="1"/>
                <w:szCs w:val="21"/>
                <w:lang w:val="en-US" w:eastAsia="zh-CN"/>
              </w:rPr>
              <w:t>5分；需用时一周内了解项目内容得3-4分；需一周以上得0-2分。</w:t>
            </w:r>
          </w:p>
        </w:tc>
      </w:tr>
      <w:tr>
        <w:tblPrEx>
          <w:tblCellMar>
            <w:top w:w="0" w:type="dxa"/>
            <w:left w:w="108" w:type="dxa"/>
            <w:bottom w:w="0" w:type="dxa"/>
            <w:right w:w="108" w:type="dxa"/>
          </w:tblCellMar>
        </w:tblPrEx>
        <w:trPr>
          <w:trHeight w:val="425" w:hRule="atLeast"/>
        </w:trPr>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5"/>
              <w:ind w:firstLine="0"/>
              <w:contextualSpacing/>
              <w:jc w:val="center"/>
              <w:rPr>
                <w:rFonts w:hint="eastAsia" w:ascii="宋体" w:hAnsi="宋体" w:cs="宋体"/>
                <w:szCs w:val="21"/>
              </w:rPr>
            </w:pPr>
            <w:r>
              <w:rPr>
                <w:rFonts w:hint="eastAsia" w:ascii="宋体" w:hAnsi="宋体" w:cs="宋体"/>
                <w:szCs w:val="21"/>
              </w:rPr>
              <w:t>2</w:t>
            </w:r>
          </w:p>
        </w:tc>
        <w:tc>
          <w:tcPr>
            <w:tcW w:w="121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5"/>
              <w:ind w:firstLine="0"/>
              <w:contextualSpacing/>
              <w:jc w:val="center"/>
              <w:rPr>
                <w:rFonts w:hint="eastAsia" w:ascii="宋体" w:hAnsi="宋体" w:cs="宋体"/>
                <w:szCs w:val="21"/>
              </w:rPr>
            </w:pPr>
            <w:r>
              <w:rPr>
                <w:rFonts w:hint="eastAsia" w:ascii="宋体" w:hAnsi="宋体" w:cs="宋体"/>
                <w:szCs w:val="21"/>
              </w:rPr>
              <w:t>商务</w:t>
            </w:r>
          </w:p>
          <w:p>
            <w:pPr>
              <w:pStyle w:val="15"/>
              <w:ind w:firstLine="0"/>
              <w:contextualSpacing/>
              <w:jc w:val="center"/>
              <w:rPr>
                <w:rFonts w:hint="eastAsia" w:ascii="宋体" w:hAnsi="宋体" w:cs="宋体"/>
                <w:szCs w:val="21"/>
              </w:rPr>
            </w:pPr>
            <w:r>
              <w:rPr>
                <w:rFonts w:hint="eastAsia" w:ascii="宋体" w:hAnsi="宋体" w:cs="宋体"/>
                <w:szCs w:val="21"/>
              </w:rPr>
              <w:t>部分</w:t>
            </w:r>
          </w:p>
          <w:p>
            <w:pPr>
              <w:pStyle w:val="15"/>
              <w:ind w:firstLine="0"/>
              <w:contextualSpacing/>
              <w:jc w:val="cente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分）</w:t>
            </w:r>
          </w:p>
        </w:tc>
        <w:tc>
          <w:tcPr>
            <w:tcW w:w="108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5"/>
              <w:ind w:firstLine="0"/>
              <w:contextualSpacing/>
              <w:jc w:val="center"/>
              <w:rPr>
                <w:rFonts w:hint="eastAsia" w:ascii="宋体" w:hAnsi="宋体" w:cs="宋体"/>
                <w:szCs w:val="21"/>
              </w:rPr>
            </w:pPr>
            <w:r>
              <w:rPr>
                <w:rFonts w:ascii="宋体" w:hAnsi="宋体" w:cs="宋体"/>
                <w:szCs w:val="21"/>
              </w:rPr>
              <w:t>单位</w:t>
            </w:r>
            <w:r>
              <w:rPr>
                <w:rFonts w:hint="eastAsia" w:ascii="宋体" w:hAnsi="宋体" w:cs="宋体"/>
                <w:szCs w:val="21"/>
              </w:rPr>
              <w:t>综合实力</w:t>
            </w:r>
          </w:p>
          <w:p>
            <w:pPr>
              <w:pStyle w:val="15"/>
              <w:ind w:firstLine="0"/>
              <w:contextualSpacing/>
              <w:jc w:val="center"/>
              <w:rPr>
                <w:rFonts w:hint="eastAsia" w:ascii="宋体" w:hAnsi="宋体" w:cs="宋体"/>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kern w:val="1"/>
                <w:szCs w:val="21"/>
              </w:rPr>
            </w:pPr>
            <w:r>
              <w:rPr>
                <w:rFonts w:hint="eastAsia" w:ascii="宋体" w:hAnsi="宋体" w:cs="宋体"/>
                <w:kern w:val="1"/>
                <w:szCs w:val="21"/>
              </w:rPr>
              <w:t>企业资质证书</w:t>
            </w:r>
          </w:p>
          <w:p>
            <w:pPr>
              <w:spacing w:line="360" w:lineRule="auto"/>
              <w:rPr>
                <w:rFonts w:hint="eastAsia" w:ascii="宋体" w:hAnsi="宋体" w:cs="宋体"/>
                <w:kern w:val="1"/>
                <w:szCs w:val="21"/>
              </w:rPr>
            </w:pPr>
            <w:r>
              <w:rPr>
                <w:rFonts w:hint="eastAsia" w:ascii="宋体" w:hAnsi="宋体" w:cs="宋体"/>
                <w:kern w:val="1"/>
                <w:szCs w:val="21"/>
              </w:rPr>
              <w:t>（</w:t>
            </w:r>
            <w:r>
              <w:rPr>
                <w:rFonts w:hint="eastAsia" w:ascii="宋体" w:hAnsi="宋体" w:cs="宋体"/>
                <w:kern w:val="1"/>
                <w:szCs w:val="21"/>
                <w:lang w:val="en-US" w:eastAsia="zh-CN"/>
              </w:rPr>
              <w:t>6</w:t>
            </w:r>
            <w:r>
              <w:rPr>
                <w:rFonts w:hint="eastAsia" w:ascii="宋体" w:hAnsi="宋体" w:cs="宋体"/>
                <w:kern w:val="1"/>
                <w:szCs w:val="21"/>
              </w:rPr>
              <w:t>分）</w:t>
            </w:r>
          </w:p>
        </w:tc>
        <w:tc>
          <w:tcPr>
            <w:tcW w:w="38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kern w:val="1"/>
                <w:szCs w:val="21"/>
              </w:rPr>
            </w:pPr>
            <w:r>
              <w:rPr>
                <w:rFonts w:hint="eastAsia" w:ascii="宋体" w:hAnsi="宋体" w:cs="宋体"/>
                <w:kern w:val="1"/>
                <w:szCs w:val="21"/>
              </w:rPr>
              <w:t>业绩（3分）：投标人近五年（201</w:t>
            </w:r>
            <w:r>
              <w:rPr>
                <w:rFonts w:hint="eastAsia" w:ascii="宋体" w:hAnsi="宋体" w:cs="宋体"/>
                <w:kern w:val="1"/>
                <w:szCs w:val="21"/>
                <w:lang w:val="en-US" w:eastAsia="zh-CN"/>
              </w:rPr>
              <w:t>7</w:t>
            </w:r>
            <w:r>
              <w:rPr>
                <w:rFonts w:hint="eastAsia" w:ascii="宋体" w:hAnsi="宋体" w:cs="宋体"/>
                <w:kern w:val="1"/>
                <w:szCs w:val="21"/>
              </w:rPr>
              <w:t>年—20</w:t>
            </w:r>
            <w:r>
              <w:rPr>
                <w:rFonts w:hint="eastAsia" w:ascii="宋体" w:hAnsi="宋体" w:cs="宋体"/>
                <w:kern w:val="1"/>
                <w:szCs w:val="21"/>
                <w:lang w:val="en-US" w:eastAsia="zh-CN"/>
              </w:rPr>
              <w:t>21</w:t>
            </w:r>
            <w:r>
              <w:rPr>
                <w:rFonts w:hint="eastAsia" w:ascii="宋体" w:hAnsi="宋体" w:cs="宋体"/>
                <w:kern w:val="1"/>
                <w:szCs w:val="21"/>
              </w:rPr>
              <w:t>年）内具有地级市以上同类软件系统项目的成功案例，每提供一份有效合同复印件得1分，最高不超过3分。（投标时须提交有效合同原件，否则不得分）</w:t>
            </w:r>
          </w:p>
          <w:p>
            <w:pPr>
              <w:spacing w:line="360" w:lineRule="auto"/>
              <w:rPr>
                <w:rFonts w:hint="eastAsia" w:ascii="宋体" w:hAnsi="宋体" w:cs="宋体"/>
                <w:kern w:val="1"/>
                <w:szCs w:val="21"/>
              </w:rPr>
            </w:pPr>
            <w:r>
              <w:rPr>
                <w:rFonts w:hint="eastAsia" w:ascii="宋体" w:hAnsi="宋体" w:cs="宋体"/>
                <w:kern w:val="1"/>
                <w:szCs w:val="21"/>
              </w:rPr>
              <w:t>投标人CMMI5证书复印件得2分，CMMI4证书复印件得1分，CMMI3证书复印件得0.5分。（2分）</w:t>
            </w:r>
          </w:p>
          <w:p>
            <w:pPr>
              <w:spacing w:line="360" w:lineRule="auto"/>
              <w:rPr>
                <w:rFonts w:hint="eastAsia" w:ascii="宋体" w:hAnsi="宋体" w:cs="宋体"/>
                <w:kern w:val="1"/>
                <w:szCs w:val="21"/>
              </w:rPr>
            </w:pPr>
            <w:r>
              <w:rPr>
                <w:rFonts w:hint="eastAsia" w:ascii="宋体" w:hAnsi="宋体" w:cs="宋体"/>
                <w:kern w:val="1"/>
                <w:szCs w:val="21"/>
              </w:rPr>
              <w:t>投标人ITSS（信息技术服务运维标准）证书复印件。（</w:t>
            </w:r>
            <w:r>
              <w:rPr>
                <w:rFonts w:hint="eastAsia" w:ascii="宋体" w:hAnsi="宋体" w:cs="宋体"/>
                <w:kern w:val="1"/>
                <w:szCs w:val="21"/>
                <w:lang w:val="en-US" w:eastAsia="zh-CN"/>
              </w:rPr>
              <w:t>1</w:t>
            </w:r>
            <w:r>
              <w:rPr>
                <w:rFonts w:hint="eastAsia" w:ascii="宋体" w:hAnsi="宋体" w:cs="宋体"/>
                <w:kern w:val="1"/>
                <w:szCs w:val="21"/>
              </w:rPr>
              <w:t>分）</w:t>
            </w:r>
          </w:p>
          <w:p>
            <w:pPr>
              <w:spacing w:line="360" w:lineRule="auto"/>
              <w:rPr>
                <w:rFonts w:hint="eastAsia" w:ascii="宋体" w:hAnsi="宋体" w:cs="宋体"/>
                <w:kern w:val="1"/>
                <w:szCs w:val="21"/>
              </w:rPr>
            </w:pPr>
          </w:p>
        </w:tc>
      </w:tr>
      <w:tr>
        <w:tblPrEx>
          <w:tblCellMar>
            <w:top w:w="0" w:type="dxa"/>
            <w:left w:w="108" w:type="dxa"/>
            <w:bottom w:w="0" w:type="dxa"/>
            <w:right w:w="108" w:type="dxa"/>
          </w:tblCellMar>
        </w:tblPrEx>
        <w:trPr>
          <w:trHeight w:val="847"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Cs w:val="21"/>
              </w:rPr>
            </w:pPr>
          </w:p>
        </w:tc>
        <w:tc>
          <w:tcPr>
            <w:tcW w:w="12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Cs w:val="21"/>
              </w:rPr>
            </w:pPr>
          </w:p>
        </w:tc>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pStyle w:val="15"/>
              <w:ind w:firstLine="0"/>
              <w:contextualSpacing/>
              <w:rPr>
                <w:rFonts w:hint="eastAsia" w:ascii="宋体" w:hAnsi="宋体" w:cs="宋体"/>
                <w:szCs w:val="21"/>
              </w:rPr>
            </w:pPr>
            <w:r>
              <w:rPr>
                <w:rFonts w:hint="eastAsia" w:ascii="宋体" w:hAnsi="宋体" w:cs="宋体"/>
                <w:szCs w:val="21"/>
              </w:rPr>
              <w:t>项目经验</w:t>
            </w:r>
          </w:p>
          <w:p>
            <w:pPr>
              <w:pStyle w:val="15"/>
              <w:ind w:firstLine="0"/>
              <w:contextualSpacing/>
              <w:rPr>
                <w:rFonts w:ascii="宋体" w:hAnsi="宋体" w:cs="宋体"/>
                <w:szCs w:val="21"/>
              </w:rPr>
            </w:pPr>
            <w:r>
              <w:rPr>
                <w:rFonts w:ascii="宋体" w:hAnsi="宋体" w:cs="宋体"/>
                <w:szCs w:val="21"/>
              </w:rPr>
              <w:t>（</w:t>
            </w:r>
            <w:r>
              <w:rPr>
                <w:rFonts w:hint="eastAsia" w:ascii="宋体" w:hAnsi="宋体" w:cs="宋体"/>
                <w:szCs w:val="21"/>
                <w:lang w:val="en-US" w:eastAsia="zh-CN"/>
              </w:rPr>
              <w:t>4</w:t>
            </w:r>
            <w:r>
              <w:rPr>
                <w:rFonts w:hint="eastAsia" w:ascii="宋体" w:hAnsi="宋体" w:cs="宋体"/>
                <w:szCs w:val="21"/>
              </w:rPr>
              <w:t>分</w:t>
            </w:r>
            <w:r>
              <w:rPr>
                <w:rFonts w:ascii="宋体" w:hAnsi="宋体" w:cs="宋体"/>
                <w:szCs w:val="21"/>
              </w:rPr>
              <w:t>）</w:t>
            </w:r>
          </w:p>
        </w:tc>
        <w:tc>
          <w:tcPr>
            <w:tcW w:w="38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宋体" w:hAnsi="宋体" w:cs="宋体"/>
                <w:szCs w:val="21"/>
              </w:rPr>
            </w:pPr>
            <w:r>
              <w:rPr>
                <w:rFonts w:hint="eastAsia" w:ascii="宋体" w:hAnsi="宋体" w:cs="宋体"/>
                <w:kern w:val="1"/>
                <w:szCs w:val="21"/>
              </w:rPr>
              <w:t>具有近五年类似政府项目案例，每提供1份得2分，最高</w:t>
            </w:r>
            <w:r>
              <w:rPr>
                <w:rFonts w:hint="eastAsia" w:ascii="宋体" w:hAnsi="宋体" w:cs="宋体"/>
                <w:kern w:val="1"/>
                <w:szCs w:val="21"/>
                <w:lang w:val="en-US" w:eastAsia="zh-CN"/>
              </w:rPr>
              <w:t>4</w:t>
            </w:r>
            <w:r>
              <w:rPr>
                <w:rFonts w:hint="eastAsia" w:ascii="宋体" w:hAnsi="宋体" w:cs="宋体"/>
                <w:kern w:val="1"/>
                <w:szCs w:val="21"/>
              </w:rPr>
              <w:t>分；提供合同复印件，否则不得分。</w:t>
            </w:r>
          </w:p>
        </w:tc>
      </w:tr>
    </w:tbl>
    <w:p>
      <w:pPr>
        <w:spacing w:line="360" w:lineRule="auto"/>
        <w:rPr>
          <w:rFonts w:ascii="宋体" w:hAnsi="宋体" w:cs="宋体"/>
          <w:kern w:val="1"/>
          <w:szCs w:val="21"/>
        </w:rPr>
      </w:pPr>
    </w:p>
    <w:p>
      <w:pPr>
        <w:spacing w:line="360" w:lineRule="auto"/>
        <w:ind w:firstLine="422"/>
        <w:rPr>
          <w:rFonts w:ascii="宋体" w:hAnsi="宋体" w:cs="宋体"/>
          <w:b/>
          <w:kern w:val="1"/>
          <w:szCs w:val="21"/>
        </w:rPr>
      </w:pPr>
      <w:r>
        <w:rPr>
          <w:rFonts w:hint="eastAsia" w:ascii="宋体" w:hAnsi="宋体" w:cs="宋体"/>
          <w:b/>
          <w:kern w:val="1"/>
          <w:szCs w:val="21"/>
          <w:lang w:eastAsia="zh-CN"/>
        </w:rPr>
        <w:t>七</w:t>
      </w:r>
      <w:r>
        <w:rPr>
          <w:rFonts w:hint="eastAsia" w:ascii="宋体" w:hAnsi="宋体" w:cs="宋体"/>
          <w:b/>
          <w:kern w:val="1"/>
          <w:szCs w:val="21"/>
        </w:rPr>
        <w:t xml:space="preserve">、投标项目评标 </w:t>
      </w:r>
    </w:p>
    <w:p>
      <w:pPr>
        <w:spacing w:line="360" w:lineRule="auto"/>
        <w:ind w:firstLine="420"/>
        <w:rPr>
          <w:rFonts w:ascii="宋体" w:hAnsi="宋体" w:cs="宋体"/>
          <w:kern w:val="1"/>
          <w:szCs w:val="21"/>
        </w:rPr>
      </w:pPr>
      <w:r>
        <w:rPr>
          <w:rFonts w:ascii="宋体" w:hAnsi="宋体" w:cs="宋体"/>
          <w:kern w:val="1"/>
          <w:szCs w:val="21"/>
        </w:rPr>
        <w:t>评标小组按照 “评分标准”规定的方法、评标因素、标准和程序对投标文件进行评标。择优选择投标文件符合本项目招标文件规定要求，经营状况良好、社会信誉度良好、资源优势、报价合理、具备合同执行能力、综合评比最优、承诺条件最优的投标方。</w:t>
      </w:r>
    </w:p>
    <w:p>
      <w:pPr>
        <w:spacing w:line="360" w:lineRule="auto"/>
        <w:ind w:firstLine="420"/>
        <w:rPr>
          <w:rFonts w:ascii="宋体" w:hAnsi="宋体" w:cs="宋体"/>
          <w:kern w:val="1"/>
          <w:szCs w:val="21"/>
        </w:rPr>
      </w:pPr>
      <w:r>
        <w:rPr>
          <w:rFonts w:hint="eastAsia" w:ascii="宋体" w:hAnsi="宋体" w:cs="宋体"/>
          <w:kern w:val="1"/>
          <w:szCs w:val="21"/>
        </w:rPr>
        <w:t>1、法定无效投标的情形为：</w:t>
      </w:r>
    </w:p>
    <w:p>
      <w:pPr>
        <w:spacing w:line="360" w:lineRule="auto"/>
        <w:ind w:firstLine="420"/>
        <w:rPr>
          <w:rFonts w:ascii="宋体" w:hAnsi="宋体" w:cs="宋体"/>
          <w:kern w:val="1"/>
          <w:szCs w:val="21"/>
        </w:rPr>
      </w:pPr>
      <w:r>
        <w:rPr>
          <w:rFonts w:hint="eastAsia" w:ascii="宋体" w:hAnsi="宋体" w:cs="宋体"/>
          <w:kern w:val="1"/>
          <w:szCs w:val="21"/>
        </w:rPr>
        <w:t>（1）投标文件未经投标单位盖章和法定代表人签字；</w:t>
      </w:r>
    </w:p>
    <w:p>
      <w:pPr>
        <w:spacing w:line="360" w:lineRule="auto"/>
        <w:ind w:firstLine="420"/>
        <w:rPr>
          <w:rFonts w:ascii="宋体" w:hAnsi="宋体" w:cs="宋体"/>
          <w:kern w:val="1"/>
          <w:szCs w:val="21"/>
        </w:rPr>
      </w:pPr>
      <w:r>
        <w:rPr>
          <w:rFonts w:hint="eastAsia" w:ascii="宋体" w:hAnsi="宋体" w:cs="宋体"/>
          <w:kern w:val="1"/>
          <w:szCs w:val="21"/>
        </w:rPr>
        <w:t>（2）投标联合体没有提交共同投标协议；</w:t>
      </w:r>
    </w:p>
    <w:p>
      <w:pPr>
        <w:spacing w:line="360" w:lineRule="auto"/>
        <w:ind w:firstLine="420"/>
        <w:rPr>
          <w:rFonts w:ascii="宋体" w:hAnsi="宋体" w:cs="宋体"/>
          <w:kern w:val="1"/>
          <w:szCs w:val="21"/>
        </w:rPr>
      </w:pPr>
      <w:r>
        <w:rPr>
          <w:rFonts w:hint="eastAsia" w:ascii="宋体" w:hAnsi="宋体" w:cs="宋体"/>
          <w:kern w:val="1"/>
          <w:szCs w:val="21"/>
        </w:rPr>
        <w:t>（3）投标方不符合国家或者招标文件规定的资格条件；</w:t>
      </w:r>
    </w:p>
    <w:p>
      <w:pPr>
        <w:spacing w:line="360" w:lineRule="auto"/>
        <w:ind w:firstLine="420"/>
        <w:rPr>
          <w:rFonts w:ascii="宋体" w:hAnsi="宋体" w:cs="宋体"/>
          <w:kern w:val="1"/>
          <w:szCs w:val="21"/>
        </w:rPr>
      </w:pPr>
      <w:r>
        <w:rPr>
          <w:rFonts w:hint="eastAsia" w:ascii="宋体" w:hAnsi="宋体" w:cs="宋体"/>
          <w:kern w:val="1"/>
          <w:szCs w:val="21"/>
        </w:rPr>
        <w:t>（4）同一投标方提交两个以上不同的投标文件或者投标报价，但招标文件要求提交备选的除外；</w:t>
      </w:r>
    </w:p>
    <w:p>
      <w:pPr>
        <w:spacing w:line="360" w:lineRule="auto"/>
        <w:ind w:firstLine="420"/>
        <w:rPr>
          <w:rFonts w:ascii="宋体" w:hAnsi="宋体" w:cs="宋体"/>
          <w:kern w:val="1"/>
          <w:szCs w:val="21"/>
        </w:rPr>
      </w:pPr>
      <w:r>
        <w:rPr>
          <w:rFonts w:hint="eastAsia" w:ascii="宋体" w:hAnsi="宋体" w:cs="宋体"/>
          <w:kern w:val="1"/>
          <w:szCs w:val="21"/>
        </w:rPr>
        <w:t>（5）投标报价低于成本或者高于招标文件设定的最高投标限价</w:t>
      </w:r>
    </w:p>
    <w:p>
      <w:pPr>
        <w:spacing w:line="360" w:lineRule="auto"/>
        <w:ind w:firstLine="420"/>
        <w:rPr>
          <w:rFonts w:ascii="宋体" w:hAnsi="宋体" w:cs="宋体"/>
          <w:kern w:val="1"/>
          <w:szCs w:val="21"/>
        </w:rPr>
      </w:pPr>
      <w:r>
        <w:rPr>
          <w:rFonts w:hint="eastAsia" w:ascii="宋体" w:hAnsi="宋体" w:cs="宋体"/>
          <w:kern w:val="1"/>
          <w:szCs w:val="21"/>
        </w:rPr>
        <w:t>（6）投标文件没有对招标文件的实质性要求和条件作出响应；</w:t>
      </w:r>
    </w:p>
    <w:p>
      <w:pPr>
        <w:spacing w:line="360" w:lineRule="auto"/>
        <w:ind w:firstLine="420"/>
        <w:rPr>
          <w:rFonts w:ascii="宋体" w:hAnsi="宋体" w:cs="宋体"/>
          <w:kern w:val="1"/>
          <w:szCs w:val="21"/>
        </w:rPr>
      </w:pPr>
      <w:r>
        <w:rPr>
          <w:rFonts w:ascii="宋体" w:hAnsi="宋体" w:cs="宋体"/>
          <w:kern w:val="1"/>
          <w:szCs w:val="21"/>
        </w:rPr>
        <w:t>（7）投标方有串通投标、弄虚作假、行贿等违法行为。</w:t>
      </w:r>
    </w:p>
    <w:p>
      <w:pPr>
        <w:spacing w:line="360" w:lineRule="auto"/>
        <w:ind w:firstLine="420"/>
        <w:rPr>
          <w:rFonts w:ascii="宋体" w:hAnsi="宋体" w:cs="宋体"/>
          <w:kern w:val="1"/>
          <w:szCs w:val="21"/>
        </w:rPr>
      </w:pPr>
      <w:r>
        <w:rPr>
          <w:rFonts w:hint="eastAsia" w:ascii="宋体" w:hAnsi="宋体" w:cs="宋体"/>
          <w:kern w:val="1"/>
          <w:szCs w:val="21"/>
        </w:rPr>
        <w:t>2、 约定无效标的情形为：</w:t>
      </w:r>
    </w:p>
    <w:p>
      <w:pPr>
        <w:spacing w:line="360" w:lineRule="auto"/>
        <w:ind w:firstLine="420"/>
        <w:rPr>
          <w:rFonts w:ascii="宋体" w:hAnsi="宋体" w:cs="宋体"/>
          <w:kern w:val="1"/>
          <w:szCs w:val="21"/>
        </w:rPr>
      </w:pPr>
      <w:r>
        <w:rPr>
          <w:rFonts w:hint="eastAsia" w:ascii="宋体" w:hAnsi="宋体" w:cs="宋体"/>
          <w:kern w:val="1"/>
          <w:szCs w:val="21"/>
        </w:rPr>
        <w:t>在商务评议时，如发现下列情况之一的，其投标文件将被拒绝：</w:t>
      </w:r>
    </w:p>
    <w:p>
      <w:pPr>
        <w:spacing w:line="360" w:lineRule="auto"/>
        <w:ind w:firstLine="420"/>
        <w:rPr>
          <w:rFonts w:ascii="宋体" w:hAnsi="宋体" w:cs="宋体"/>
          <w:kern w:val="1"/>
          <w:szCs w:val="21"/>
        </w:rPr>
      </w:pPr>
      <w:r>
        <w:rPr>
          <w:rFonts w:hint="eastAsia" w:ascii="宋体" w:hAnsi="宋体" w:cs="宋体"/>
          <w:kern w:val="1"/>
          <w:szCs w:val="21"/>
        </w:rPr>
        <w:t>（1）无法定代表人出具的授权委托书的；</w:t>
      </w:r>
    </w:p>
    <w:p>
      <w:pPr>
        <w:spacing w:line="360" w:lineRule="auto"/>
        <w:ind w:firstLine="420"/>
        <w:rPr>
          <w:rFonts w:ascii="宋体" w:hAnsi="宋体" w:cs="宋体"/>
          <w:kern w:val="1"/>
          <w:szCs w:val="21"/>
        </w:rPr>
      </w:pPr>
      <w:r>
        <w:rPr>
          <w:rFonts w:hint="eastAsia" w:ascii="宋体" w:hAnsi="宋体" w:cs="宋体"/>
          <w:kern w:val="1"/>
          <w:szCs w:val="21"/>
        </w:rPr>
        <w:t>（2）内容不全或关键字迹模糊、无法辨认的；</w:t>
      </w:r>
    </w:p>
    <w:p>
      <w:pPr>
        <w:spacing w:line="360" w:lineRule="auto"/>
        <w:ind w:firstLine="420"/>
        <w:rPr>
          <w:rFonts w:ascii="宋体" w:hAnsi="宋体" w:cs="宋体"/>
          <w:kern w:val="1"/>
          <w:szCs w:val="21"/>
        </w:rPr>
      </w:pPr>
      <w:r>
        <w:rPr>
          <w:rFonts w:hint="eastAsia" w:ascii="宋体" w:hAnsi="宋体" w:cs="宋体"/>
          <w:kern w:val="1"/>
          <w:szCs w:val="21"/>
        </w:rPr>
        <w:t>（3）投标方名称或组织结构与资格预审时不一致且未提供有效证明的；</w:t>
      </w:r>
    </w:p>
    <w:p>
      <w:pPr>
        <w:spacing w:line="360" w:lineRule="auto"/>
        <w:ind w:firstLine="420"/>
        <w:rPr>
          <w:rFonts w:ascii="宋体" w:hAnsi="宋体" w:cs="宋体"/>
          <w:kern w:val="1"/>
          <w:szCs w:val="21"/>
        </w:rPr>
      </w:pPr>
      <w:r>
        <w:rPr>
          <w:rFonts w:hint="eastAsia" w:ascii="宋体" w:hAnsi="宋体" w:cs="宋体"/>
          <w:kern w:val="1"/>
          <w:szCs w:val="21"/>
        </w:rPr>
        <w:t>（4）投标有效期不满足招标文件要求的；</w:t>
      </w:r>
    </w:p>
    <w:p>
      <w:pPr>
        <w:spacing w:line="360" w:lineRule="auto"/>
        <w:ind w:firstLine="420"/>
        <w:rPr>
          <w:rFonts w:ascii="宋体" w:hAnsi="宋体" w:cs="宋体"/>
          <w:kern w:val="1"/>
          <w:szCs w:val="21"/>
        </w:rPr>
      </w:pPr>
      <w:r>
        <w:rPr>
          <w:rFonts w:hint="eastAsia" w:ascii="宋体" w:hAnsi="宋体" w:cs="宋体"/>
          <w:kern w:val="1"/>
          <w:szCs w:val="21"/>
        </w:rPr>
        <w:t>（5）招标文件明确规定可以无效标的其他情形。</w:t>
      </w:r>
    </w:p>
    <w:p>
      <w:pPr>
        <w:spacing w:line="360" w:lineRule="auto"/>
        <w:ind w:firstLine="420"/>
        <w:rPr>
          <w:rFonts w:ascii="宋体" w:hAnsi="宋体" w:cs="宋体"/>
          <w:kern w:val="1"/>
          <w:szCs w:val="21"/>
        </w:rPr>
      </w:pPr>
      <w:r>
        <w:rPr>
          <w:rFonts w:hint="eastAsia" w:ascii="宋体" w:hAnsi="宋体" w:cs="宋体"/>
          <w:kern w:val="1"/>
          <w:szCs w:val="21"/>
        </w:rPr>
        <w:t>3、在技术评议时，如发现下列情况之一的，其投标将被拒绝：</w:t>
      </w:r>
      <w:r>
        <w:rPr>
          <w:rFonts w:ascii="宋体" w:hAnsi="宋体" w:cs="宋体"/>
          <w:kern w:val="1"/>
          <w:szCs w:val="21"/>
        </w:rPr>
        <w:tab/>
      </w:r>
    </w:p>
    <w:p>
      <w:pPr>
        <w:spacing w:line="360" w:lineRule="auto"/>
        <w:ind w:firstLine="420"/>
        <w:rPr>
          <w:rFonts w:ascii="宋体" w:hAnsi="宋体" w:cs="宋体"/>
          <w:kern w:val="1"/>
          <w:szCs w:val="21"/>
        </w:rPr>
      </w:pPr>
      <w:r>
        <w:rPr>
          <w:rFonts w:ascii="宋体" w:hAnsi="宋体" w:cs="宋体"/>
          <w:kern w:val="1"/>
          <w:szCs w:val="21"/>
        </w:rPr>
        <w:t>（1）投标文件不满足招标文件项目需求的；</w:t>
      </w:r>
    </w:p>
    <w:p>
      <w:pPr>
        <w:spacing w:line="360" w:lineRule="auto"/>
        <w:ind w:firstLine="420"/>
        <w:rPr>
          <w:rFonts w:ascii="宋体" w:hAnsi="宋体" w:cs="宋体"/>
          <w:kern w:val="1"/>
          <w:szCs w:val="21"/>
        </w:rPr>
      </w:pPr>
      <w:r>
        <w:rPr>
          <w:rFonts w:hint="eastAsia" w:ascii="宋体" w:hAnsi="宋体" w:cs="宋体"/>
          <w:kern w:val="1"/>
          <w:szCs w:val="21"/>
        </w:rPr>
        <w:t>（2）投标文件中的响应与事实情况不符或虚假投标的；</w:t>
      </w:r>
    </w:p>
    <w:p>
      <w:pPr>
        <w:spacing w:line="360" w:lineRule="auto"/>
        <w:ind w:firstLine="420"/>
        <w:rPr>
          <w:rFonts w:ascii="宋体" w:hAnsi="宋体" w:cs="宋体"/>
          <w:kern w:val="1"/>
          <w:szCs w:val="21"/>
        </w:rPr>
      </w:pPr>
      <w:r>
        <w:rPr>
          <w:rFonts w:ascii="宋体" w:hAnsi="宋体" w:cs="宋体"/>
          <w:kern w:val="1"/>
          <w:szCs w:val="21"/>
        </w:rPr>
        <w:t>（3）投标文件符合招标文件中规定无效标的其他技术条款的。</w:t>
      </w:r>
    </w:p>
    <w:p>
      <w:pPr>
        <w:pStyle w:val="6"/>
        <w:widowControl w:val="0"/>
        <w:adjustRightInd w:val="0"/>
        <w:snapToGrid w:val="0"/>
        <w:spacing w:before="0" w:beforeAutospacing="0" w:after="0" w:afterAutospacing="0" w:line="560" w:lineRule="exact"/>
        <w:ind w:firstLine="640" w:firstLineChars="200"/>
        <w:rPr>
          <w:rFonts w:hint="default" w:ascii="仿宋" w:hAnsi="仿宋" w:eastAsia="仿宋"/>
          <w:sz w:val="32"/>
          <w:szCs w:val="32"/>
          <w:lang w:val="en-US" w:eastAsia="zh-CN"/>
        </w:rPr>
      </w:pPr>
    </w:p>
    <w:sectPr>
      <w:footerReference r:id="rId3"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eastAsia="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hZGViN2MzZTAyY2QxODM0OTMzY2I1ZTVkNWY0ODgifQ=="/>
  </w:docVars>
  <w:rsids>
    <w:rsidRoot w:val="00B608A8"/>
    <w:rsid w:val="003517EF"/>
    <w:rsid w:val="00B56D11"/>
    <w:rsid w:val="00B608A8"/>
    <w:rsid w:val="00BC2F27"/>
    <w:rsid w:val="01931566"/>
    <w:rsid w:val="032D3BD7"/>
    <w:rsid w:val="074D6E71"/>
    <w:rsid w:val="08CC290E"/>
    <w:rsid w:val="0F521A99"/>
    <w:rsid w:val="14576852"/>
    <w:rsid w:val="15222A46"/>
    <w:rsid w:val="218910D7"/>
    <w:rsid w:val="222E68BA"/>
    <w:rsid w:val="22EF079B"/>
    <w:rsid w:val="25124DCD"/>
    <w:rsid w:val="26F77FCE"/>
    <w:rsid w:val="2B4B2176"/>
    <w:rsid w:val="2B9E7B4A"/>
    <w:rsid w:val="2CEC5E71"/>
    <w:rsid w:val="2E900528"/>
    <w:rsid w:val="30185CCC"/>
    <w:rsid w:val="3452475D"/>
    <w:rsid w:val="36343A2A"/>
    <w:rsid w:val="38884F71"/>
    <w:rsid w:val="3BAF0234"/>
    <w:rsid w:val="3BBD3A34"/>
    <w:rsid w:val="42101084"/>
    <w:rsid w:val="427861F0"/>
    <w:rsid w:val="48DC723E"/>
    <w:rsid w:val="4960336B"/>
    <w:rsid w:val="540966EA"/>
    <w:rsid w:val="56A014F3"/>
    <w:rsid w:val="59704518"/>
    <w:rsid w:val="5A2E02DC"/>
    <w:rsid w:val="5DDC7052"/>
    <w:rsid w:val="64606AD8"/>
    <w:rsid w:val="65CC224E"/>
    <w:rsid w:val="67714AEA"/>
    <w:rsid w:val="6BEE24B4"/>
    <w:rsid w:val="6BF83192"/>
    <w:rsid w:val="6C800033"/>
    <w:rsid w:val="70601DDD"/>
    <w:rsid w:val="72175A12"/>
    <w:rsid w:val="74413D23"/>
    <w:rsid w:val="7C6B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公文正文"/>
    <w:basedOn w:val="1"/>
    <w:qFormat/>
    <w:uiPriority w:val="0"/>
    <w:pPr>
      <w:spacing w:line="600" w:lineRule="exact"/>
      <w:outlineLvl w:val="9"/>
    </w:pPr>
    <w:rPr>
      <w:szCs w:val="32"/>
    </w:rPr>
  </w:style>
  <w:style w:type="paragraph" w:styleId="3">
    <w:name w:val="Body Text Indent"/>
    <w:basedOn w:val="1"/>
    <w:qFormat/>
    <w:uiPriority w:val="0"/>
    <w:pPr>
      <w:spacing w:after="120"/>
      <w:ind w:left="420" w:leftChars="200"/>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unhideWhenUsed/>
    <w:qFormat/>
    <w:uiPriority w:val="99"/>
    <w:pPr>
      <w:ind w:firstLine="420"/>
    </w:pPr>
    <w:rPr>
      <w:rFonts w:ascii="Calibri" w:hAnsi="Calibri"/>
      <w:sz w:val="2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qFormat/>
    <w:uiPriority w:val="99"/>
    <w:rPr>
      <w:sz w:val="18"/>
      <w:szCs w:val="18"/>
    </w:rPr>
  </w:style>
  <w:style w:type="character" w:customStyle="1" w:styleId="12">
    <w:name w:val="页脚 字符"/>
    <w:basedOn w:val="10"/>
    <w:link w:val="4"/>
    <w:qFormat/>
    <w:uiPriority w:val="99"/>
    <w:rPr>
      <w:sz w:val="18"/>
      <w:szCs w:val="18"/>
    </w:rPr>
  </w:style>
  <w:style w:type="character" w:customStyle="1" w:styleId="13">
    <w:name w:val="页脚 Char"/>
    <w:qFormat/>
    <w:uiPriority w:val="99"/>
    <w:rPr>
      <w:kern w:val="2"/>
      <w:sz w:val="18"/>
      <w:szCs w:val="18"/>
    </w:rPr>
  </w:style>
  <w:style w:type="paragraph" w:customStyle="1" w:styleId="1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List Paragraph"/>
    <w:basedOn w:val="1"/>
    <w:qFormat/>
    <w:uiPriority w:val="7"/>
    <w:pPr>
      <w:ind w:firstLine="420"/>
    </w:pPr>
    <w:rPr>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3373</Words>
  <Characters>3444</Characters>
  <Lines>18</Lines>
  <Paragraphs>5</Paragraphs>
  <TotalTime>0</TotalTime>
  <ScaleCrop>false</ScaleCrop>
  <LinksUpToDate>false</LinksUpToDate>
  <CharactersWithSpaces>3466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2020-09-30T03:53:00Z</dcterms:created>
  <dc:creator>杨 克</dc:creator>
  <cp:lastModifiedBy>邹珊珊</cp:lastModifiedBy>
  <dcterms:modified xsi:type="dcterms:W3CDTF">2022-05-17T06:53:23Z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E2A24EDF608140AE87826FA7D09F5DE1</vt:lpwstr>
  </property>
</Properties>
</file>